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C9" w:rsidRDefault="00FB27BD" w:rsidP="00F00781">
      <w:pPr>
        <w:pStyle w:val="IETPaperTitle"/>
        <w:jc w:val="both"/>
        <w:rPr>
          <w:rFonts w:ascii="Arial" w:hAnsi="Arial" w:cs="Arial"/>
          <w:bCs/>
          <w:sz w:val="24"/>
          <w:szCs w:val="20"/>
        </w:rPr>
      </w:pPr>
      <w:r>
        <w:rPr>
          <w:rFonts w:ascii="Arial" w:hAnsi="Arial" w:cs="Arial"/>
          <w:bCs/>
          <w:sz w:val="24"/>
          <w:szCs w:val="20"/>
        </w:rPr>
        <w:t>Supervised</w:t>
      </w:r>
      <w:r w:rsidR="00950F03" w:rsidRPr="00B23A32">
        <w:rPr>
          <w:rFonts w:ascii="Arial" w:hAnsi="Arial" w:cs="Arial"/>
          <w:bCs/>
          <w:sz w:val="24"/>
          <w:szCs w:val="20"/>
        </w:rPr>
        <w:t xml:space="preserve"> Learning </w:t>
      </w:r>
      <w:r w:rsidR="00950F03">
        <w:rPr>
          <w:rFonts w:ascii="Arial" w:hAnsi="Arial" w:cs="Arial"/>
          <w:bCs/>
          <w:sz w:val="24"/>
          <w:szCs w:val="20"/>
        </w:rPr>
        <w:t xml:space="preserve">Inspired </w:t>
      </w:r>
      <w:r w:rsidR="00AE4C26" w:rsidRPr="00B23A32">
        <w:rPr>
          <w:rFonts w:ascii="Arial" w:hAnsi="Arial" w:cs="Arial"/>
          <w:bCs/>
          <w:sz w:val="24"/>
          <w:szCs w:val="20"/>
        </w:rPr>
        <w:t>Fast Forecasting Model of 2019-nCoV Outbreak using Small Dataset</w:t>
      </w:r>
    </w:p>
    <w:p w:rsidR="008E0582" w:rsidRPr="000F534A" w:rsidRDefault="008E0582" w:rsidP="00F00781">
      <w:pPr>
        <w:pStyle w:val="IETPaperTitle"/>
        <w:jc w:val="both"/>
        <w:rPr>
          <w:rFonts w:ascii="Arial" w:hAnsi="Arial" w:cs="Arial"/>
          <w:sz w:val="24"/>
          <w:szCs w:val="20"/>
        </w:rPr>
      </w:pPr>
    </w:p>
    <w:p w:rsidR="00082EC9" w:rsidRPr="000F534A" w:rsidRDefault="00082EC9" w:rsidP="00F00781">
      <w:pPr>
        <w:pStyle w:val="IETPaperTitle"/>
        <w:jc w:val="both"/>
        <w:rPr>
          <w:sz w:val="20"/>
          <w:szCs w:val="20"/>
        </w:rPr>
      </w:pPr>
    </w:p>
    <w:p w:rsidR="00D41274" w:rsidRPr="000F534A" w:rsidRDefault="00AE4C26" w:rsidP="00F00781">
      <w:pPr>
        <w:jc w:val="both"/>
        <w:rPr>
          <w:sz w:val="22"/>
          <w:szCs w:val="20"/>
          <w:vertAlign w:val="superscript"/>
        </w:rPr>
      </w:pPr>
      <w:r w:rsidRPr="0017093D">
        <w:rPr>
          <w:sz w:val="22"/>
          <w:szCs w:val="20"/>
        </w:rPr>
        <w:t>A</w:t>
      </w:r>
      <w:r>
        <w:rPr>
          <w:sz w:val="22"/>
          <w:szCs w:val="20"/>
        </w:rPr>
        <w:t>rijit</w:t>
      </w:r>
      <w:r w:rsidRPr="0017093D">
        <w:rPr>
          <w:sz w:val="22"/>
          <w:szCs w:val="20"/>
        </w:rPr>
        <w:t>Chakraborty</w:t>
      </w:r>
      <w:r w:rsidRPr="0017093D">
        <w:rPr>
          <w:sz w:val="22"/>
          <w:szCs w:val="20"/>
          <w:vertAlign w:val="superscript"/>
        </w:rPr>
        <w:t>1</w:t>
      </w:r>
      <w:r w:rsidRPr="0017093D">
        <w:rPr>
          <w:sz w:val="22"/>
          <w:szCs w:val="20"/>
        </w:rPr>
        <w:t>, S</w:t>
      </w:r>
      <w:r>
        <w:rPr>
          <w:sz w:val="22"/>
          <w:szCs w:val="20"/>
        </w:rPr>
        <w:t>ajal</w:t>
      </w:r>
      <w:r w:rsidRPr="0017093D">
        <w:rPr>
          <w:sz w:val="22"/>
          <w:szCs w:val="20"/>
        </w:rPr>
        <w:t>Mitra</w:t>
      </w:r>
      <w:r w:rsidRPr="0017093D">
        <w:rPr>
          <w:sz w:val="22"/>
          <w:szCs w:val="20"/>
          <w:vertAlign w:val="superscript"/>
        </w:rPr>
        <w:t>2</w:t>
      </w:r>
      <w:r w:rsidRPr="0017093D">
        <w:rPr>
          <w:sz w:val="22"/>
          <w:szCs w:val="20"/>
        </w:rPr>
        <w:t>, D</w:t>
      </w:r>
      <w:r>
        <w:rPr>
          <w:sz w:val="22"/>
          <w:szCs w:val="20"/>
        </w:rPr>
        <w:t>ipankar</w:t>
      </w:r>
      <w:r w:rsidRPr="0017093D">
        <w:rPr>
          <w:sz w:val="22"/>
          <w:szCs w:val="20"/>
        </w:rPr>
        <w:t xml:space="preserve"> Das</w:t>
      </w:r>
      <w:r w:rsidRPr="0017093D">
        <w:rPr>
          <w:sz w:val="22"/>
          <w:szCs w:val="20"/>
          <w:vertAlign w:val="superscript"/>
        </w:rPr>
        <w:t>1</w:t>
      </w:r>
      <w:r w:rsidRPr="0017093D">
        <w:rPr>
          <w:sz w:val="22"/>
          <w:szCs w:val="20"/>
        </w:rPr>
        <w:t>, D</w:t>
      </w:r>
      <w:r>
        <w:rPr>
          <w:sz w:val="22"/>
          <w:szCs w:val="20"/>
        </w:rPr>
        <w:t>ebas</w:t>
      </w:r>
      <w:r w:rsidR="00F5383C">
        <w:rPr>
          <w:sz w:val="22"/>
          <w:szCs w:val="20"/>
        </w:rPr>
        <w:t>h</w:t>
      </w:r>
      <w:r>
        <w:rPr>
          <w:sz w:val="22"/>
          <w:szCs w:val="20"/>
        </w:rPr>
        <w:t>is</w:t>
      </w:r>
      <w:r w:rsidRPr="0017093D">
        <w:rPr>
          <w:sz w:val="22"/>
          <w:szCs w:val="20"/>
        </w:rPr>
        <w:t xml:space="preserve"> De</w:t>
      </w:r>
      <w:r w:rsidRPr="0017093D">
        <w:rPr>
          <w:sz w:val="22"/>
          <w:szCs w:val="20"/>
          <w:vertAlign w:val="superscript"/>
        </w:rPr>
        <w:t>3</w:t>
      </w:r>
      <w:r w:rsidR="00990580">
        <w:rPr>
          <w:sz w:val="22"/>
          <w:szCs w:val="20"/>
        </w:rPr>
        <w:t>,</w:t>
      </w:r>
      <w:r w:rsidR="000B27BD">
        <w:rPr>
          <w:sz w:val="22"/>
          <w:szCs w:val="20"/>
        </w:rPr>
        <w:t>Sankar Prasad Mondal</w:t>
      </w:r>
      <w:r w:rsidR="000B27BD" w:rsidRPr="0017093D">
        <w:rPr>
          <w:sz w:val="22"/>
          <w:szCs w:val="20"/>
          <w:vertAlign w:val="superscript"/>
        </w:rPr>
        <w:t>4</w:t>
      </w:r>
      <w:r w:rsidR="00A271CC" w:rsidRPr="00BF2315">
        <w:rPr>
          <w:b/>
          <w:sz w:val="22"/>
          <w:szCs w:val="20"/>
          <w:vertAlign w:val="superscript"/>
        </w:rPr>
        <w:t>*</w:t>
      </w:r>
      <w:r w:rsidR="000B27BD">
        <w:rPr>
          <w:sz w:val="22"/>
          <w:szCs w:val="20"/>
        </w:rPr>
        <w:t xml:space="preserve">, </w:t>
      </w:r>
      <w:r w:rsidRPr="0017093D">
        <w:rPr>
          <w:sz w:val="22"/>
          <w:szCs w:val="20"/>
        </w:rPr>
        <w:t>A</w:t>
      </w:r>
      <w:r>
        <w:rPr>
          <w:sz w:val="22"/>
          <w:szCs w:val="20"/>
        </w:rPr>
        <w:t>nindya</w:t>
      </w:r>
      <w:r w:rsidRPr="0017093D">
        <w:rPr>
          <w:sz w:val="22"/>
          <w:szCs w:val="20"/>
        </w:rPr>
        <w:t xml:space="preserve"> J. Pal</w:t>
      </w:r>
      <w:r w:rsidR="000B27BD">
        <w:rPr>
          <w:sz w:val="22"/>
          <w:szCs w:val="20"/>
          <w:vertAlign w:val="superscript"/>
        </w:rPr>
        <w:t>5</w:t>
      </w:r>
    </w:p>
    <w:p w:rsidR="0071790D" w:rsidRDefault="0071790D" w:rsidP="00F00781">
      <w:pPr>
        <w:jc w:val="both"/>
        <w:rPr>
          <w:sz w:val="20"/>
          <w:szCs w:val="20"/>
        </w:rPr>
      </w:pPr>
    </w:p>
    <w:p w:rsidR="006322DE" w:rsidRDefault="006322DE" w:rsidP="00F00781">
      <w:pPr>
        <w:jc w:val="both"/>
        <w:rPr>
          <w:sz w:val="20"/>
          <w:szCs w:val="20"/>
        </w:rPr>
      </w:pPr>
    </w:p>
    <w:p w:rsidR="006F145C" w:rsidRPr="006F145C" w:rsidRDefault="00AE4C26" w:rsidP="006F145C">
      <w:pPr>
        <w:jc w:val="both"/>
        <w:rPr>
          <w:sz w:val="20"/>
          <w:szCs w:val="20"/>
        </w:rPr>
      </w:pPr>
      <w:r w:rsidRPr="006F145C">
        <w:rPr>
          <w:sz w:val="20"/>
          <w:szCs w:val="20"/>
          <w:vertAlign w:val="superscript"/>
        </w:rPr>
        <w:t>1</w:t>
      </w:r>
      <w:r w:rsidRPr="006F145C">
        <w:rPr>
          <w:sz w:val="20"/>
          <w:szCs w:val="20"/>
        </w:rPr>
        <w:t>Bachelor of Computer Application Department, The Heritage</w:t>
      </w:r>
      <w:r>
        <w:rPr>
          <w:sz w:val="20"/>
          <w:szCs w:val="20"/>
        </w:rPr>
        <w:t xml:space="preserve"> Academy, Kolkata, </w:t>
      </w:r>
      <w:r w:rsidRPr="006F145C">
        <w:rPr>
          <w:sz w:val="20"/>
          <w:szCs w:val="20"/>
        </w:rPr>
        <w:t>India.</w:t>
      </w:r>
    </w:p>
    <w:p w:rsidR="006F145C" w:rsidRPr="006F145C" w:rsidRDefault="00AE4C26" w:rsidP="006F145C">
      <w:pPr>
        <w:jc w:val="both"/>
        <w:rPr>
          <w:sz w:val="20"/>
          <w:szCs w:val="20"/>
        </w:rPr>
      </w:pPr>
      <w:r w:rsidRPr="006F145C">
        <w:rPr>
          <w:sz w:val="20"/>
          <w:szCs w:val="20"/>
          <w:vertAlign w:val="superscript"/>
        </w:rPr>
        <w:t>2</w:t>
      </w:r>
      <w:r w:rsidRPr="006F145C">
        <w:rPr>
          <w:sz w:val="20"/>
          <w:szCs w:val="20"/>
        </w:rPr>
        <w:t xml:space="preserve">Department of Computer Science and Engineering, Heritage Institute of Technology, </w:t>
      </w:r>
      <w:r>
        <w:rPr>
          <w:sz w:val="20"/>
          <w:szCs w:val="20"/>
        </w:rPr>
        <w:t xml:space="preserve">Kolkata, </w:t>
      </w:r>
      <w:r w:rsidRPr="006F145C">
        <w:rPr>
          <w:sz w:val="20"/>
          <w:szCs w:val="20"/>
        </w:rPr>
        <w:t>India.</w:t>
      </w:r>
    </w:p>
    <w:p w:rsidR="006F145C" w:rsidRDefault="00AE4C26" w:rsidP="006F145C">
      <w:pPr>
        <w:jc w:val="both"/>
        <w:rPr>
          <w:sz w:val="20"/>
          <w:szCs w:val="20"/>
        </w:rPr>
      </w:pPr>
      <w:r w:rsidRPr="006F145C">
        <w:rPr>
          <w:sz w:val="20"/>
          <w:szCs w:val="20"/>
          <w:vertAlign w:val="superscript"/>
        </w:rPr>
        <w:t>3</w:t>
      </w:r>
      <w:r w:rsidRPr="006F145C">
        <w:rPr>
          <w:sz w:val="20"/>
          <w:szCs w:val="20"/>
        </w:rPr>
        <w:t>Department of Computer Science and Engineering, MaulanaAbulKalam Azad University of Technology,</w:t>
      </w:r>
      <w:r w:rsidR="006D3A16">
        <w:rPr>
          <w:sz w:val="20"/>
          <w:szCs w:val="20"/>
        </w:rPr>
        <w:t xml:space="preserve"> West Bengal,</w:t>
      </w:r>
      <w:r w:rsidRPr="006F145C">
        <w:rPr>
          <w:sz w:val="20"/>
          <w:szCs w:val="20"/>
        </w:rPr>
        <w:t xml:space="preserve"> India.</w:t>
      </w:r>
    </w:p>
    <w:p w:rsidR="000B27BD" w:rsidRPr="006F145C" w:rsidRDefault="00AE4C26" w:rsidP="006F145C">
      <w:pPr>
        <w:jc w:val="both"/>
        <w:rPr>
          <w:sz w:val="20"/>
          <w:szCs w:val="20"/>
        </w:rPr>
      </w:pPr>
      <w:r w:rsidRPr="006F145C">
        <w:rPr>
          <w:sz w:val="20"/>
          <w:szCs w:val="20"/>
          <w:vertAlign w:val="superscript"/>
        </w:rPr>
        <w:t>4</w:t>
      </w:r>
      <w:r w:rsidRPr="006F145C">
        <w:rPr>
          <w:sz w:val="20"/>
          <w:szCs w:val="20"/>
        </w:rPr>
        <w:t xml:space="preserve">Department of </w:t>
      </w:r>
      <w:r>
        <w:rPr>
          <w:sz w:val="20"/>
          <w:szCs w:val="20"/>
        </w:rPr>
        <w:t xml:space="preserve">Applied </w:t>
      </w:r>
      <w:r w:rsidRPr="006F145C">
        <w:rPr>
          <w:sz w:val="20"/>
          <w:szCs w:val="20"/>
        </w:rPr>
        <w:t>Science, MaulanaAbulKalam Azad University of Technology,</w:t>
      </w:r>
      <w:r w:rsidR="006D3A16">
        <w:rPr>
          <w:sz w:val="20"/>
          <w:szCs w:val="20"/>
        </w:rPr>
        <w:t xml:space="preserve"> West Bengal,</w:t>
      </w:r>
      <w:r w:rsidRPr="006F145C">
        <w:rPr>
          <w:sz w:val="20"/>
          <w:szCs w:val="20"/>
        </w:rPr>
        <w:t xml:space="preserve"> India.</w:t>
      </w:r>
    </w:p>
    <w:p w:rsidR="006F145C" w:rsidRPr="006F145C" w:rsidRDefault="00AE4C26" w:rsidP="00D67245">
      <w:pPr>
        <w:tabs>
          <w:tab w:val="center" w:pos="4513"/>
        </w:tabs>
        <w:jc w:val="both"/>
        <w:rPr>
          <w:sz w:val="20"/>
          <w:szCs w:val="20"/>
        </w:rPr>
      </w:pPr>
      <w:r>
        <w:rPr>
          <w:sz w:val="20"/>
          <w:szCs w:val="20"/>
          <w:vertAlign w:val="superscript"/>
        </w:rPr>
        <w:t>5</w:t>
      </w:r>
      <w:r w:rsidRPr="006F145C">
        <w:rPr>
          <w:sz w:val="20"/>
          <w:szCs w:val="20"/>
        </w:rPr>
        <w:t>University of Burdwan, Burdwan</w:t>
      </w:r>
      <w:r>
        <w:rPr>
          <w:sz w:val="20"/>
          <w:szCs w:val="20"/>
        </w:rPr>
        <w:t>,</w:t>
      </w:r>
      <w:r w:rsidRPr="006F145C">
        <w:rPr>
          <w:sz w:val="20"/>
          <w:szCs w:val="20"/>
        </w:rPr>
        <w:t xml:space="preserve"> India.</w:t>
      </w:r>
      <w:r w:rsidR="00D67245">
        <w:rPr>
          <w:sz w:val="20"/>
          <w:szCs w:val="20"/>
        </w:rPr>
        <w:tab/>
      </w:r>
    </w:p>
    <w:p w:rsidR="00A271CC" w:rsidRDefault="00A271CC" w:rsidP="00F00781">
      <w:pPr>
        <w:jc w:val="both"/>
        <w:rPr>
          <w:sz w:val="20"/>
          <w:szCs w:val="20"/>
          <w:vertAlign w:val="superscript"/>
        </w:rPr>
      </w:pPr>
    </w:p>
    <w:p w:rsidR="00BF2315" w:rsidRPr="009252E0" w:rsidRDefault="00E80A5E" w:rsidP="00BF2315">
      <w:pPr>
        <w:jc w:val="both"/>
        <w:rPr>
          <w:sz w:val="20"/>
          <w:szCs w:val="20"/>
        </w:rPr>
      </w:pPr>
      <w:r w:rsidRPr="00BF2315">
        <w:rPr>
          <w:rStyle w:val="Hyperlink"/>
          <w:sz w:val="20"/>
          <w:szCs w:val="20"/>
        </w:rPr>
        <w:fldChar w:fldCharType="begin"/>
      </w:r>
      <w:r w:rsidR="00BF2315" w:rsidRPr="00BF2315">
        <w:rPr>
          <w:rStyle w:val="Hyperlink"/>
          <w:sz w:val="20"/>
          <w:szCs w:val="20"/>
        </w:rPr>
        <w:instrText xml:space="preserve"> HYPERLINK "mailto:*</w:instrText>
      </w:r>
      <w:r w:rsidR="00BF2315" w:rsidRPr="00BF2315">
        <w:rPr>
          <w:rStyle w:val="Hyperlink"/>
          <w:sz w:val="20"/>
          <w:szCs w:val="20"/>
          <w:vertAlign w:val="superscript"/>
        </w:rPr>
        <w:instrText>arijit.chakraborty@heritageit.edu</w:instrText>
      </w:r>
      <w:r w:rsidR="00BF2315" w:rsidRPr="00BF2315">
        <w:rPr>
          <w:rStyle w:val="Hyperlink"/>
          <w:sz w:val="20"/>
          <w:szCs w:val="20"/>
        </w:rPr>
        <w:instrText xml:space="preserve">" </w:instrText>
      </w:r>
      <w:r w:rsidRPr="00BF2315">
        <w:rPr>
          <w:rStyle w:val="Hyperlink"/>
          <w:sz w:val="20"/>
          <w:szCs w:val="20"/>
        </w:rPr>
        <w:fldChar w:fldCharType="separate"/>
      </w:r>
      <w:r w:rsidR="00BF2315" w:rsidRPr="00BF2315">
        <w:rPr>
          <w:rStyle w:val="Hyperlink"/>
          <w:sz w:val="20"/>
          <w:szCs w:val="20"/>
          <w:vertAlign w:val="superscript"/>
        </w:rPr>
        <w:t>*</w:t>
      </w:r>
      <w:hyperlink r:id="rId8" w:tgtFrame="_blank" w:history="1">
        <w:r w:rsidR="00BF2315" w:rsidRPr="009252E0">
          <w:rPr>
            <w:rStyle w:val="Hyperlink"/>
            <w:sz w:val="20"/>
            <w:szCs w:val="20"/>
          </w:rPr>
          <w:t>sankar.mondal02@gmail.com</w:t>
        </w:r>
      </w:hyperlink>
    </w:p>
    <w:p w:rsidR="00BF2315" w:rsidRDefault="00BF2315" w:rsidP="00BF2315">
      <w:pPr>
        <w:jc w:val="both"/>
        <w:rPr>
          <w:rStyle w:val="Hyperlink"/>
          <w:sz w:val="20"/>
          <w:szCs w:val="20"/>
        </w:rPr>
      </w:pPr>
    </w:p>
    <w:p w:rsidR="00BF2315" w:rsidRPr="00BF2315" w:rsidRDefault="00E80A5E" w:rsidP="00BF2315">
      <w:pPr>
        <w:jc w:val="both"/>
        <w:rPr>
          <w:rStyle w:val="Hyperlink"/>
          <w:sz w:val="20"/>
          <w:szCs w:val="20"/>
          <w:vertAlign w:val="superscript"/>
        </w:rPr>
      </w:pPr>
      <w:r w:rsidRPr="00BF2315">
        <w:rPr>
          <w:rStyle w:val="Hyperlink"/>
          <w:sz w:val="20"/>
          <w:szCs w:val="20"/>
        </w:rPr>
        <w:fldChar w:fldCharType="end"/>
      </w:r>
    </w:p>
    <w:p w:rsidR="00D41274" w:rsidRPr="000F534A" w:rsidRDefault="00D41274" w:rsidP="00F00781">
      <w:pPr>
        <w:rPr>
          <w:sz w:val="20"/>
          <w:szCs w:val="20"/>
        </w:rPr>
      </w:pPr>
    </w:p>
    <w:p w:rsidR="00441DB7" w:rsidRDefault="00441DB7" w:rsidP="00F00781">
      <w:pPr>
        <w:rPr>
          <w:sz w:val="20"/>
          <w:szCs w:val="20"/>
        </w:rPr>
      </w:pPr>
    </w:p>
    <w:p w:rsidR="006A7A62" w:rsidRPr="000F534A" w:rsidRDefault="006A7A62" w:rsidP="00F00781">
      <w:pPr>
        <w:rPr>
          <w:sz w:val="20"/>
          <w:szCs w:val="20"/>
        </w:rPr>
        <w:sectPr w:rsidR="006A7A62" w:rsidRPr="000F534A" w:rsidSect="003F7E5D">
          <w:footerReference w:type="default" r:id="rId9"/>
          <w:pgSz w:w="11906" w:h="16838"/>
          <w:pgMar w:top="1440" w:right="1440" w:bottom="1440" w:left="1440" w:header="567" w:footer="551" w:gutter="0"/>
          <w:cols w:space="708"/>
          <w:docGrid w:linePitch="360"/>
        </w:sectPr>
      </w:pPr>
    </w:p>
    <w:p w:rsidR="00D2572E" w:rsidRDefault="00AE4C26" w:rsidP="00FA53CF">
      <w:pPr>
        <w:pStyle w:val="IETAbstractText"/>
        <w:jc w:val="both"/>
        <w:rPr>
          <w:b w:val="0"/>
          <w:sz w:val="20"/>
          <w:szCs w:val="20"/>
        </w:rPr>
      </w:pPr>
      <w:r w:rsidRPr="000F534A">
        <w:rPr>
          <w:rFonts w:asciiTheme="minorHAnsi" w:hAnsiTheme="minorHAnsi"/>
          <w:sz w:val="20"/>
          <w:szCs w:val="20"/>
        </w:rPr>
        <w:lastRenderedPageBreak/>
        <w:t>Ab</w:t>
      </w:r>
      <w:r w:rsidR="0064799C" w:rsidRPr="000F534A">
        <w:rPr>
          <w:rFonts w:asciiTheme="minorHAnsi" w:hAnsiTheme="minorHAnsi"/>
          <w:sz w:val="20"/>
          <w:szCs w:val="20"/>
        </w:rPr>
        <w:t>s</w:t>
      </w:r>
      <w:r w:rsidRPr="000F534A">
        <w:rPr>
          <w:rFonts w:asciiTheme="minorHAnsi" w:hAnsiTheme="minorHAnsi"/>
          <w:sz w:val="20"/>
          <w:szCs w:val="20"/>
        </w:rPr>
        <w:t>tract</w:t>
      </w:r>
      <w:r w:rsidR="005C79D2" w:rsidRPr="000F534A">
        <w:rPr>
          <w:rFonts w:asciiTheme="minorHAnsi" w:hAnsiTheme="minorHAnsi"/>
          <w:sz w:val="20"/>
          <w:szCs w:val="20"/>
        </w:rPr>
        <w:t>:</w:t>
      </w:r>
      <w:r w:rsidR="00FA53CF" w:rsidRPr="00FF6EA1">
        <w:rPr>
          <w:b w:val="0"/>
          <w:sz w:val="20"/>
          <w:szCs w:val="20"/>
        </w:rPr>
        <w:t xml:space="preserve">A rapid spread of the </w:t>
      </w:r>
      <w:r w:rsidR="00A70722">
        <w:rPr>
          <w:b w:val="0"/>
          <w:sz w:val="20"/>
          <w:szCs w:val="20"/>
        </w:rPr>
        <w:t>2019-novel Corona V</w:t>
      </w:r>
      <w:r w:rsidR="00FA53CF" w:rsidRPr="00FF6EA1">
        <w:rPr>
          <w:b w:val="0"/>
          <w:sz w:val="20"/>
          <w:szCs w:val="20"/>
        </w:rPr>
        <w:t>irus (</w:t>
      </w:r>
      <w:r w:rsidR="00A70722">
        <w:rPr>
          <w:b w:val="0"/>
          <w:sz w:val="20"/>
          <w:szCs w:val="20"/>
        </w:rPr>
        <w:t>2019-</w:t>
      </w:r>
      <w:r w:rsidR="00FA53CF" w:rsidRPr="00FF6EA1">
        <w:rPr>
          <w:b w:val="0"/>
          <w:sz w:val="20"/>
          <w:szCs w:val="20"/>
        </w:rPr>
        <w:t xml:space="preserve">nCoV) epidemic imposes a threat to society and the </w:t>
      </w:r>
      <w:r w:rsidR="008F2A6A">
        <w:rPr>
          <w:b w:val="0"/>
          <w:sz w:val="20"/>
          <w:szCs w:val="20"/>
        </w:rPr>
        <w:t>global economy</w:t>
      </w:r>
      <w:r w:rsidR="00FA53CF" w:rsidRPr="00FF6EA1">
        <w:rPr>
          <w:b w:val="0"/>
          <w:sz w:val="20"/>
          <w:szCs w:val="20"/>
        </w:rPr>
        <w:t xml:space="preserve">. The epidemic induced by the contagious coronavirus resulted in the suspension of day to day activities such as education, tourism, and community services in provinces of China and its neighboring countries. The real impact of this virus on a society largely depends on its outbreak momentum. Therefore, it is imperative to formulate a robust and accurate prediction model to approximate its disastrous repercussions on human lives. Limited understanding of the 2019-nCoV </w:t>
      </w:r>
      <w:r w:rsidR="008F2A6A">
        <w:rPr>
          <w:b w:val="0"/>
          <w:sz w:val="20"/>
          <w:szCs w:val="20"/>
        </w:rPr>
        <w:t>outbreak</w:t>
      </w:r>
      <w:r w:rsidR="00FA53CF" w:rsidRPr="00FF6EA1">
        <w:rPr>
          <w:b w:val="0"/>
          <w:sz w:val="20"/>
          <w:szCs w:val="20"/>
        </w:rPr>
        <w:t xml:space="preserve"> with the imprecision involved induces an extraordinary challenge in framing a prudent forecasting model. </w:t>
      </w:r>
      <w:r w:rsidR="0081578C" w:rsidRPr="0081578C">
        <w:rPr>
          <w:b w:val="0"/>
          <w:sz w:val="20"/>
          <w:szCs w:val="20"/>
        </w:rPr>
        <w:t>This publication elucidates a collaborative framework consisting of Machine Learning (ML) and Statistical prediction methods to estimate the adversity of this virus.</w:t>
      </w:r>
      <w:r w:rsidR="00E331DF" w:rsidRPr="00E331DF">
        <w:rPr>
          <w:b w:val="0"/>
          <w:sz w:val="20"/>
          <w:szCs w:val="20"/>
        </w:rPr>
        <w:t>The suggested framework offers a high degree of accuracy in evaluating the rise in the 2019-nCoV pandemic in Chinese provinces, with a reasonably small Root Mean Square Error (RMSE) on a small dataset rendered by the World Health Organization (WHO).</w:t>
      </w:r>
    </w:p>
    <w:p w:rsidR="008E0582" w:rsidRPr="008E0582" w:rsidRDefault="008E0582" w:rsidP="008E0582"/>
    <w:p w:rsidR="0071790D" w:rsidRPr="000F534A" w:rsidRDefault="0071790D" w:rsidP="00F00781">
      <w:pPr>
        <w:rPr>
          <w:b/>
          <w:sz w:val="20"/>
          <w:szCs w:val="20"/>
        </w:rPr>
      </w:pPr>
    </w:p>
    <w:p w:rsidR="006067BA" w:rsidRPr="000F534A" w:rsidRDefault="006067BA" w:rsidP="00144046">
      <w:pPr>
        <w:pStyle w:val="IETHeading1"/>
        <w:numPr>
          <w:ilvl w:val="0"/>
          <w:numId w:val="2"/>
        </w:numPr>
        <w:rPr>
          <w:sz w:val="20"/>
          <w:szCs w:val="20"/>
        </w:rPr>
        <w:sectPr w:rsidR="006067BA" w:rsidRPr="000F534A" w:rsidSect="003F7E5D">
          <w:footerReference w:type="default" r:id="rId10"/>
          <w:type w:val="continuous"/>
          <w:pgSz w:w="11906" w:h="16838" w:code="9"/>
          <w:pgMar w:top="1077" w:right="811" w:bottom="2438" w:left="811" w:header="680" w:footer="551" w:gutter="0"/>
          <w:cols w:space="238"/>
          <w:docGrid w:linePitch="360"/>
        </w:sectPr>
      </w:pPr>
    </w:p>
    <w:p w:rsidR="0071790D" w:rsidRPr="000F534A" w:rsidRDefault="00AE4C26" w:rsidP="00144046">
      <w:pPr>
        <w:pStyle w:val="IETHeading1"/>
        <w:numPr>
          <w:ilvl w:val="0"/>
          <w:numId w:val="2"/>
        </w:numPr>
        <w:rPr>
          <w:sz w:val="20"/>
          <w:szCs w:val="20"/>
        </w:rPr>
      </w:pPr>
      <w:r w:rsidRPr="000F534A">
        <w:rPr>
          <w:sz w:val="20"/>
          <w:szCs w:val="20"/>
        </w:rPr>
        <w:lastRenderedPageBreak/>
        <w:t>Introduction</w:t>
      </w:r>
    </w:p>
    <w:p w:rsidR="00E90C59" w:rsidRPr="00E90C59" w:rsidRDefault="001A1759" w:rsidP="00E90C59">
      <w:pPr>
        <w:pStyle w:val="IETParagraph"/>
        <w:spacing w:line="240" w:lineRule="auto"/>
        <w:rPr>
          <w:sz w:val="20"/>
          <w:szCs w:val="20"/>
        </w:rPr>
      </w:pPr>
      <w:r w:rsidRPr="00346C80">
        <w:rPr>
          <w:sz w:val="20"/>
          <w:szCs w:val="20"/>
        </w:rPr>
        <w:t>Coronavirus (</w:t>
      </w:r>
      <w:r w:rsidRPr="00346C80">
        <w:rPr>
          <w:rStyle w:val="Strong"/>
          <w:color w:val="0E101A"/>
          <w:sz w:val="20"/>
          <w:szCs w:val="20"/>
        </w:rPr>
        <w:t>CoV</w:t>
      </w:r>
      <w:r w:rsidRPr="00346C80">
        <w:rPr>
          <w:sz w:val="20"/>
          <w:szCs w:val="20"/>
        </w:rPr>
        <w:t>) is a class of microorganisms that produce diverse human ailments such as common cold to more severe conditions like Middle-East Respiratory Syndrome (</w:t>
      </w:r>
      <w:r w:rsidRPr="00346C80">
        <w:rPr>
          <w:rStyle w:val="Strong"/>
          <w:color w:val="0E101A"/>
          <w:sz w:val="20"/>
          <w:szCs w:val="20"/>
        </w:rPr>
        <w:t>MERS-CoV) </w:t>
      </w:r>
      <w:r w:rsidRPr="00346C80">
        <w:rPr>
          <w:sz w:val="20"/>
          <w:szCs w:val="20"/>
        </w:rPr>
        <w:t>and Severe Acute Respiratory Syndrome (</w:t>
      </w:r>
      <w:r w:rsidRPr="00346C80">
        <w:rPr>
          <w:rStyle w:val="Strong"/>
          <w:color w:val="0E101A"/>
          <w:sz w:val="20"/>
          <w:szCs w:val="20"/>
        </w:rPr>
        <w:t>SARS-CoV</w:t>
      </w:r>
      <w:r w:rsidRPr="00346C80">
        <w:rPr>
          <w:sz w:val="20"/>
          <w:szCs w:val="20"/>
        </w:rPr>
        <w:t>).</w:t>
      </w:r>
      <w:r w:rsidR="00AE4C26" w:rsidRPr="00F83487">
        <w:rPr>
          <w:sz w:val="20"/>
          <w:szCs w:val="20"/>
        </w:rPr>
        <w:t xml:space="preserve">The </w:t>
      </w:r>
      <w:r w:rsidR="004B62C0" w:rsidRPr="00F83487">
        <w:rPr>
          <w:sz w:val="20"/>
          <w:szCs w:val="20"/>
        </w:rPr>
        <w:t>2019-nCoV</w:t>
      </w:r>
      <w:r w:rsidR="00AE4C26" w:rsidRPr="00F83487">
        <w:rPr>
          <w:sz w:val="20"/>
          <w:szCs w:val="20"/>
        </w:rPr>
        <w:t xml:space="preserve"> is a new stretch in the CoV family that has not been found in humans until recent times. Diverse phylogenetic experiments concluded that the CoV family keeps an indivisible strand of the RNA genome of varying length</w:t>
      </w:r>
      <w:r w:rsidR="004D737D" w:rsidRPr="00F83487">
        <w:rPr>
          <w:sz w:val="20"/>
          <w:szCs w:val="20"/>
        </w:rPr>
        <w:t>s</w:t>
      </w:r>
      <w:r w:rsidR="00AE4C26" w:rsidRPr="00F83487">
        <w:rPr>
          <w:sz w:val="20"/>
          <w:szCs w:val="20"/>
        </w:rPr>
        <w:t xml:space="preserve"> between 26 to 32 kilobases [1]. The adversity</w:t>
      </w:r>
      <w:r w:rsidR="00AE4C26" w:rsidRPr="00E90C59">
        <w:rPr>
          <w:sz w:val="20"/>
          <w:szCs w:val="20"/>
        </w:rPr>
        <w:t xml:space="preserve"> of this virus is not only limited to humans but also identified in several avian hosts [2-3]. Lately, The CoV Study Group of the International Committee for Taxonomy of Viruses suggested three families of Cov, namely, </w:t>
      </w:r>
      <w:r w:rsidR="00AE4C26" w:rsidRPr="00E90C59">
        <w:rPr>
          <w:b/>
          <w:i/>
          <w:iCs/>
          <w:sz w:val="20"/>
          <w:szCs w:val="20"/>
        </w:rPr>
        <w:t>α-CoV</w:t>
      </w:r>
      <w:r w:rsidR="00AE4C26" w:rsidRPr="00E90C59">
        <w:rPr>
          <w:sz w:val="20"/>
          <w:szCs w:val="20"/>
        </w:rPr>
        <w:t>, </w:t>
      </w:r>
      <w:r w:rsidR="00AE4C26" w:rsidRPr="00E90C59">
        <w:rPr>
          <w:b/>
          <w:i/>
          <w:iCs/>
          <w:sz w:val="20"/>
          <w:szCs w:val="20"/>
        </w:rPr>
        <w:t>β-CoV</w:t>
      </w:r>
      <w:r w:rsidR="00AE4C26" w:rsidRPr="00E90C59">
        <w:rPr>
          <w:i/>
          <w:iCs/>
          <w:sz w:val="20"/>
          <w:szCs w:val="20"/>
        </w:rPr>
        <w:t>, </w:t>
      </w:r>
      <w:r w:rsidR="00AE4C26" w:rsidRPr="00E90C59">
        <w:rPr>
          <w:sz w:val="20"/>
          <w:szCs w:val="20"/>
        </w:rPr>
        <w:t>and </w:t>
      </w:r>
      <w:r w:rsidR="00AE4C26" w:rsidRPr="00E90C59">
        <w:rPr>
          <w:b/>
          <w:i/>
          <w:iCs/>
          <w:sz w:val="20"/>
          <w:szCs w:val="20"/>
        </w:rPr>
        <w:t>γ-CoV</w:t>
      </w:r>
      <w:r w:rsidR="00AE4C26" w:rsidRPr="00E90C59">
        <w:rPr>
          <w:sz w:val="20"/>
          <w:szCs w:val="20"/>
        </w:rPr>
        <w:t> [4]. Most of the coronavirus types that are pathogenic to humans resulted in moderate symptoms except a few notable exceptions, su</w:t>
      </w:r>
      <w:r w:rsidR="00AE4C26" w:rsidRPr="00E90C59">
        <w:rPr>
          <w:rStyle w:val="Emphasis"/>
          <w:color w:val="0E101A"/>
          <w:sz w:val="20"/>
          <w:szCs w:val="20"/>
        </w:rPr>
        <w:t>ch as SARS-CoV, </w:t>
      </w:r>
      <w:r w:rsidR="00AE4C26" w:rsidRPr="00E90C59">
        <w:rPr>
          <w:sz w:val="20"/>
          <w:szCs w:val="20"/>
        </w:rPr>
        <w:t>fundamentally a </w:t>
      </w:r>
      <w:r w:rsidR="00AE4C26" w:rsidRPr="00E90C59">
        <w:rPr>
          <w:rStyle w:val="Emphasis"/>
          <w:color w:val="0E101A"/>
          <w:sz w:val="20"/>
          <w:szCs w:val="20"/>
        </w:rPr>
        <w:t>β-CoV </w:t>
      </w:r>
      <w:r w:rsidR="00AE4C26" w:rsidRPr="00E90C59">
        <w:rPr>
          <w:sz w:val="20"/>
          <w:szCs w:val="20"/>
        </w:rPr>
        <w:t xml:space="preserve">with first evidence reported in Guangdong, southern China in 2002 and </w:t>
      </w:r>
      <w:r w:rsidR="00AE4C26" w:rsidRPr="00E90C59">
        <w:rPr>
          <w:b/>
          <w:sz w:val="20"/>
          <w:szCs w:val="20"/>
        </w:rPr>
        <w:t xml:space="preserve">MERS-CoV </w:t>
      </w:r>
      <w:r w:rsidR="00AE4C26" w:rsidRPr="00E90C59">
        <w:rPr>
          <w:sz w:val="20"/>
          <w:szCs w:val="20"/>
        </w:rPr>
        <w:t xml:space="preserve">[5] first detected in Saudi Arabia in 2012, both of them resulted in massive fatalities. Lately, in December 2019, numerous cases with symptoms of viral pneumonia discovered to be epidemiologically linked with the </w:t>
      </w:r>
      <w:r w:rsidR="00F47917">
        <w:rPr>
          <w:sz w:val="20"/>
          <w:szCs w:val="20"/>
        </w:rPr>
        <w:t>Wuhan</w:t>
      </w:r>
      <w:r w:rsidR="002D1826">
        <w:rPr>
          <w:sz w:val="20"/>
          <w:szCs w:val="20"/>
        </w:rPr>
        <w:t xml:space="preserve"> city</w:t>
      </w:r>
      <w:r w:rsidR="00AE4C26" w:rsidRPr="00E90C59">
        <w:rPr>
          <w:sz w:val="20"/>
          <w:szCs w:val="20"/>
        </w:rPr>
        <w:t xml:space="preserve">, the Hubei province of China. To date, several suspected cases of 2019-nCoV infection reported across Chinese provinces. Besides, 2019-nCoV has now been notified in many countries </w:t>
      </w:r>
      <w:r w:rsidR="00AE4C26" w:rsidRPr="00E90C59">
        <w:rPr>
          <w:sz w:val="20"/>
          <w:szCs w:val="20"/>
        </w:rPr>
        <w:lastRenderedPageBreak/>
        <w:t xml:space="preserve">worldwide. The Chinese economy increased at a pace of 6% last year and became a global leader in trade. However, the outbreak of the </w:t>
      </w:r>
      <w:r w:rsidR="008F050C">
        <w:rPr>
          <w:sz w:val="20"/>
          <w:szCs w:val="20"/>
        </w:rPr>
        <w:t>2019-</w:t>
      </w:r>
      <w:r w:rsidR="00AE4C26" w:rsidRPr="00E90C59">
        <w:rPr>
          <w:sz w:val="20"/>
          <w:szCs w:val="20"/>
        </w:rPr>
        <w:t xml:space="preserve">nCoV epidemic adversely influenced the Chinese economy with a slower growth pace </w:t>
      </w:r>
      <w:r w:rsidR="00FD09BB">
        <w:rPr>
          <w:sz w:val="20"/>
          <w:szCs w:val="20"/>
        </w:rPr>
        <w:t>of</w:t>
      </w:r>
      <w:r w:rsidR="00AE4C26" w:rsidRPr="00E90C59">
        <w:rPr>
          <w:sz w:val="20"/>
          <w:szCs w:val="20"/>
        </w:rPr>
        <w:t xml:space="preserve"> 4.5%, in the first financial quarter of 2020. This economic fallout threatens global economic growth with shutdowns of factories and crude oil prices. Therefore, it becomes critical for administrators to estimate human loss and </w:t>
      </w:r>
      <w:r w:rsidR="00FD09BB">
        <w:rPr>
          <w:sz w:val="20"/>
          <w:szCs w:val="20"/>
        </w:rPr>
        <w:t>the</w:t>
      </w:r>
      <w:r w:rsidR="00AE4C26" w:rsidRPr="00E90C59">
        <w:rPr>
          <w:sz w:val="20"/>
          <w:szCs w:val="20"/>
        </w:rPr>
        <w:t xml:space="preserve"> socio-economic impact caused by 2019-nCoV.</w:t>
      </w:r>
    </w:p>
    <w:p w:rsidR="00F50AE6" w:rsidRDefault="00AE4C26" w:rsidP="00E90C59">
      <w:pPr>
        <w:pStyle w:val="IETParagraph"/>
        <w:spacing w:line="240" w:lineRule="auto"/>
        <w:rPr>
          <w:sz w:val="20"/>
          <w:szCs w:val="20"/>
        </w:rPr>
      </w:pPr>
      <w:r>
        <w:rPr>
          <w:sz w:val="20"/>
          <w:szCs w:val="20"/>
        </w:rPr>
        <w:t>Coronavirus D</w:t>
      </w:r>
      <w:r w:rsidRPr="00064F7F">
        <w:rPr>
          <w:sz w:val="20"/>
          <w:szCs w:val="20"/>
        </w:rPr>
        <w:t>isease-2019 (</w:t>
      </w:r>
      <w:r w:rsidRPr="003C4570">
        <w:rPr>
          <w:b/>
          <w:sz w:val="20"/>
          <w:szCs w:val="20"/>
        </w:rPr>
        <w:t>COVID-19</w:t>
      </w:r>
      <w:r w:rsidRPr="00064F7F">
        <w:rPr>
          <w:sz w:val="20"/>
          <w:szCs w:val="20"/>
        </w:rPr>
        <w:t xml:space="preserve">) </w:t>
      </w:r>
      <w:r w:rsidR="004322D7">
        <w:rPr>
          <w:sz w:val="20"/>
          <w:szCs w:val="20"/>
        </w:rPr>
        <w:t xml:space="preserve">mainly </w:t>
      </w:r>
      <w:r w:rsidRPr="00064F7F">
        <w:rPr>
          <w:sz w:val="20"/>
          <w:szCs w:val="20"/>
        </w:rPr>
        <w:t xml:space="preserve">circulated among persons through </w:t>
      </w:r>
      <w:r w:rsidR="004322D7">
        <w:rPr>
          <w:sz w:val="20"/>
          <w:szCs w:val="20"/>
        </w:rPr>
        <w:t>using</w:t>
      </w:r>
      <w:r w:rsidRPr="00064F7F">
        <w:rPr>
          <w:sz w:val="20"/>
          <w:szCs w:val="20"/>
        </w:rPr>
        <w:t xml:space="preserve"> the facial and oral pathways [</w:t>
      </w:r>
      <w:r w:rsidR="000D2CFE" w:rsidRPr="000C505B">
        <w:rPr>
          <w:color w:val="000000" w:themeColor="text1"/>
          <w:sz w:val="20"/>
          <w:szCs w:val="20"/>
        </w:rPr>
        <w:t>6</w:t>
      </w:r>
      <w:r w:rsidRPr="00064F7F">
        <w:rPr>
          <w:sz w:val="20"/>
          <w:szCs w:val="20"/>
        </w:rPr>
        <w:t xml:space="preserve">]. </w:t>
      </w:r>
      <w:r w:rsidR="00224143">
        <w:rPr>
          <w:sz w:val="20"/>
          <w:szCs w:val="20"/>
        </w:rPr>
        <w:t>A significant no. of</w:t>
      </w:r>
      <w:r w:rsidRPr="00064F7F">
        <w:rPr>
          <w:sz w:val="20"/>
          <w:szCs w:val="20"/>
        </w:rPr>
        <w:t xml:space="preserve"> cases with mild symptoms </w:t>
      </w:r>
      <w:r w:rsidR="00224143">
        <w:rPr>
          <w:sz w:val="20"/>
          <w:szCs w:val="20"/>
        </w:rPr>
        <w:t xml:space="preserve">of COVID-19 </w:t>
      </w:r>
      <w:r w:rsidR="00224143" w:rsidRPr="00064F7F">
        <w:rPr>
          <w:sz w:val="20"/>
          <w:szCs w:val="20"/>
        </w:rPr>
        <w:t>not</w:t>
      </w:r>
      <w:r w:rsidRPr="00064F7F">
        <w:rPr>
          <w:sz w:val="20"/>
          <w:szCs w:val="20"/>
        </w:rPr>
        <w:t xml:space="preserve"> present</w:t>
      </w:r>
      <w:r w:rsidR="00224143">
        <w:rPr>
          <w:sz w:val="20"/>
          <w:szCs w:val="20"/>
        </w:rPr>
        <w:t>ed</w:t>
      </w:r>
      <w:r w:rsidRPr="00064F7F">
        <w:rPr>
          <w:sz w:val="20"/>
          <w:szCs w:val="20"/>
        </w:rPr>
        <w:t xml:space="preserve"> to hospitals</w:t>
      </w:r>
      <w:r w:rsidR="00224143">
        <w:rPr>
          <w:sz w:val="20"/>
          <w:szCs w:val="20"/>
        </w:rPr>
        <w:t xml:space="preserve">, thereby limitingus with only </w:t>
      </w:r>
      <w:r w:rsidR="006D0E82" w:rsidRPr="006D0E82">
        <w:rPr>
          <w:sz w:val="20"/>
          <w:szCs w:val="20"/>
        </w:rPr>
        <w:t xml:space="preserve">a handful </w:t>
      </w:r>
      <w:r w:rsidR="00224143">
        <w:rPr>
          <w:sz w:val="20"/>
          <w:szCs w:val="20"/>
        </w:rPr>
        <w:t xml:space="preserve">of information on this epidemic. Therefore, </w:t>
      </w:r>
      <w:r w:rsidR="006D0E82" w:rsidRPr="006D0E82">
        <w:rPr>
          <w:sz w:val="20"/>
          <w:szCs w:val="20"/>
        </w:rPr>
        <w:t>it becomes incredibly challenging and labo</w:t>
      </w:r>
      <w:r w:rsidR="006B704C">
        <w:rPr>
          <w:sz w:val="20"/>
          <w:szCs w:val="20"/>
        </w:rPr>
        <w:t>u</w:t>
      </w:r>
      <w:r w:rsidR="006D0E82" w:rsidRPr="006D0E82">
        <w:rPr>
          <w:sz w:val="20"/>
          <w:szCs w:val="20"/>
        </w:rPr>
        <w:t xml:space="preserve">r intensive for us to design a faster, accurate, and robust forecast model from the smallest clues for estimating the fatality of </w:t>
      </w:r>
      <w:r w:rsidR="00224143">
        <w:rPr>
          <w:sz w:val="20"/>
          <w:szCs w:val="20"/>
        </w:rPr>
        <w:t xml:space="preserve">the </w:t>
      </w:r>
      <w:r w:rsidR="006D0E82" w:rsidRPr="006D0E82">
        <w:rPr>
          <w:sz w:val="20"/>
          <w:szCs w:val="20"/>
        </w:rPr>
        <w:t xml:space="preserve">2019-nCoV outbreak. </w:t>
      </w:r>
    </w:p>
    <w:p w:rsidR="006D0E82" w:rsidRPr="006D0E82" w:rsidRDefault="00AE4C26" w:rsidP="00E90C59">
      <w:pPr>
        <w:pStyle w:val="IETParagraph"/>
        <w:spacing w:line="240" w:lineRule="auto"/>
        <w:rPr>
          <w:sz w:val="20"/>
          <w:szCs w:val="20"/>
        </w:rPr>
      </w:pPr>
      <w:r>
        <w:rPr>
          <w:sz w:val="20"/>
          <w:szCs w:val="20"/>
        </w:rPr>
        <w:t>In thiscontext</w:t>
      </w:r>
      <w:r w:rsidR="000D2CFE">
        <w:rPr>
          <w:sz w:val="20"/>
          <w:szCs w:val="20"/>
        </w:rPr>
        <w:t xml:space="preserve">, </w:t>
      </w:r>
      <w:r w:rsidR="003F0956">
        <w:rPr>
          <w:sz w:val="20"/>
          <w:szCs w:val="20"/>
        </w:rPr>
        <w:t xml:space="preserve">Q. </w:t>
      </w:r>
      <w:r w:rsidR="000D2CFE">
        <w:rPr>
          <w:sz w:val="20"/>
          <w:szCs w:val="20"/>
        </w:rPr>
        <w:t>Guo et al. [7</w:t>
      </w:r>
      <w:r w:rsidRPr="006D0E82">
        <w:rPr>
          <w:sz w:val="20"/>
          <w:szCs w:val="20"/>
        </w:rPr>
        <w:t>] proposed a prediction model to estimate the infectivity pattern of 2019-nCov in Wuhan province of China, using</w:t>
      </w:r>
      <w:r w:rsidR="00B825E0">
        <w:rPr>
          <w:sz w:val="20"/>
          <w:szCs w:val="20"/>
        </w:rPr>
        <w:t xml:space="preserve"> the deep-learning algorithm. [7</w:t>
      </w:r>
      <w:r w:rsidRPr="006D0E82">
        <w:rPr>
          <w:sz w:val="20"/>
          <w:szCs w:val="20"/>
        </w:rPr>
        <w:t>] observed that 2019-nCoV has a resembling infectivity association with SARS-CoV. By examining the infectivity patterns of all viruses hosted on vertebrates, [</w:t>
      </w:r>
      <w:r w:rsidR="00404B4D">
        <w:rPr>
          <w:sz w:val="20"/>
          <w:szCs w:val="20"/>
        </w:rPr>
        <w:t>7</w:t>
      </w:r>
      <w:r w:rsidRPr="006D0E82">
        <w:rPr>
          <w:sz w:val="20"/>
          <w:szCs w:val="20"/>
        </w:rPr>
        <w:t>] concluded that the infectivity pattern of mink viruses are strictly proximate to 2019-nCov. In a</w:t>
      </w:r>
      <w:r w:rsidR="002643C3">
        <w:rPr>
          <w:sz w:val="20"/>
          <w:szCs w:val="20"/>
        </w:rPr>
        <w:t xml:space="preserve">nother work, </w:t>
      </w:r>
      <w:r w:rsidR="00754627">
        <w:rPr>
          <w:sz w:val="20"/>
          <w:szCs w:val="20"/>
        </w:rPr>
        <w:t xml:space="preserve">J.M. </w:t>
      </w:r>
      <w:r w:rsidR="002643C3">
        <w:rPr>
          <w:sz w:val="20"/>
          <w:szCs w:val="20"/>
        </w:rPr>
        <w:t>Read et al. [8</w:t>
      </w:r>
      <w:r w:rsidRPr="006D0E82">
        <w:rPr>
          <w:sz w:val="20"/>
          <w:szCs w:val="20"/>
        </w:rPr>
        <w:t xml:space="preserve">] developed an early estimation model based on </w:t>
      </w:r>
      <w:r w:rsidRPr="006D0E82">
        <w:rPr>
          <w:sz w:val="20"/>
          <w:szCs w:val="20"/>
        </w:rPr>
        <w:lastRenderedPageBreak/>
        <w:t>epidemiological parameters to predict 2019-nCoV in Wuhan, China. By employing the model, [</w:t>
      </w:r>
      <w:r w:rsidR="000D5B70">
        <w:rPr>
          <w:sz w:val="20"/>
          <w:szCs w:val="20"/>
        </w:rPr>
        <w:t>8</w:t>
      </w:r>
      <w:r w:rsidRPr="006D0E82">
        <w:rPr>
          <w:sz w:val="20"/>
          <w:szCs w:val="20"/>
        </w:rPr>
        <w:t xml:space="preserve">] estimated that the mean ascertainment rate in Wuhan between 1 and 22 January 2020 was 0.05. However, building a prediction model from a tiny dataset consisting of no. of effected and no. of deaths caused by the 2019-nCoV in Chinese provinces imposes a challenge in using </w:t>
      </w:r>
      <w:r w:rsidRPr="006D0E82">
        <w:rPr>
          <w:b/>
          <w:sz w:val="20"/>
          <w:szCs w:val="20"/>
        </w:rPr>
        <w:t>ML</w:t>
      </w:r>
      <w:r w:rsidRPr="006D0E82">
        <w:rPr>
          <w:sz w:val="20"/>
          <w:szCs w:val="20"/>
        </w:rPr>
        <w:t xml:space="preserve">-based estimation of human causalities as no single model can be considered as the best fit to estimate the adversities caused by </w:t>
      </w:r>
      <w:r w:rsidR="00FC62E8">
        <w:rPr>
          <w:sz w:val="20"/>
          <w:szCs w:val="20"/>
        </w:rPr>
        <w:t>2019-</w:t>
      </w:r>
      <w:r w:rsidRPr="006D0E82">
        <w:rPr>
          <w:sz w:val="20"/>
          <w:szCs w:val="20"/>
        </w:rPr>
        <w:t>nCoV. In the context of the seriousness of the situation, a new forecasting approach should be examined as an option besides other conventional methods.</w:t>
      </w:r>
    </w:p>
    <w:p w:rsidR="00364AFD" w:rsidRDefault="00AE4C26" w:rsidP="00E90C59">
      <w:pPr>
        <w:pStyle w:val="IETParagraph"/>
        <w:spacing w:line="240" w:lineRule="auto"/>
        <w:rPr>
          <w:color w:val="000000" w:themeColor="text1"/>
          <w:sz w:val="20"/>
          <w:szCs w:val="18"/>
        </w:rPr>
      </w:pPr>
      <w:r w:rsidRPr="006C7282">
        <w:rPr>
          <w:sz w:val="20"/>
          <w:szCs w:val="18"/>
        </w:rPr>
        <w:t xml:space="preserve">This publication presents a collaborative approach consisting of the merits of statistical and ML-based prediction </w:t>
      </w:r>
      <w:r w:rsidR="006C2552">
        <w:rPr>
          <w:sz w:val="20"/>
          <w:szCs w:val="18"/>
        </w:rPr>
        <w:t xml:space="preserve">methods to determine the best-fit candidate </w:t>
      </w:r>
      <w:r w:rsidRPr="006C7282">
        <w:rPr>
          <w:sz w:val="20"/>
          <w:szCs w:val="18"/>
        </w:rPr>
        <w:t xml:space="preserve">in terms of </w:t>
      </w:r>
      <w:r w:rsidRPr="006C2552">
        <w:rPr>
          <w:sz w:val="20"/>
          <w:szCs w:val="18"/>
        </w:rPr>
        <w:t>RMSE</w:t>
      </w:r>
      <w:r w:rsidR="006C2552" w:rsidRPr="006C2552">
        <w:rPr>
          <w:sz w:val="20"/>
          <w:szCs w:val="18"/>
        </w:rPr>
        <w:t>, to estimate the death toll induced by the 2019-nCov outbreak</w:t>
      </w:r>
      <w:r w:rsidRPr="006C7282">
        <w:rPr>
          <w:sz w:val="20"/>
          <w:szCs w:val="18"/>
        </w:rPr>
        <w:t xml:space="preserve"> and therefore named as a Collaborative Framework for Prediction using Small Dataset (</w:t>
      </w:r>
      <w:r w:rsidRPr="006C7282">
        <w:rPr>
          <w:b/>
          <w:sz w:val="20"/>
          <w:szCs w:val="18"/>
        </w:rPr>
        <w:t>CFPSD</w:t>
      </w:r>
      <w:r w:rsidRPr="006C7282">
        <w:rPr>
          <w:sz w:val="20"/>
          <w:szCs w:val="18"/>
        </w:rPr>
        <w:t>).</w:t>
      </w:r>
      <w:r w:rsidR="0072384A" w:rsidRPr="00FC62E8">
        <w:rPr>
          <w:color w:val="000000" w:themeColor="text1"/>
          <w:sz w:val="20"/>
          <w:szCs w:val="18"/>
        </w:rPr>
        <w:t>A layout of our proposed CFPSD model is shown in Fig. 1.</w:t>
      </w:r>
    </w:p>
    <w:p w:rsidR="008E0582" w:rsidRDefault="008E0582" w:rsidP="008E0582">
      <w:pPr>
        <w:pStyle w:val="IETParagraph"/>
        <w:spacing w:line="240" w:lineRule="auto"/>
        <w:rPr>
          <w:sz w:val="20"/>
          <w:szCs w:val="20"/>
        </w:rPr>
      </w:pPr>
      <w:r w:rsidRPr="00457F30">
        <w:rPr>
          <w:sz w:val="20"/>
          <w:szCs w:val="18"/>
        </w:rPr>
        <w:t>RMSE is a measure of the variations between actual and predicted values offered by a forecasting model, and it represents the degree of error in the forecasting process.  Since a small RMSE implies better accuracy of the model, we considered RMSE as a metric to evaluate the performance of the participating units of the proposed collaboration.</w:t>
      </w:r>
    </w:p>
    <w:p w:rsidR="008E0582" w:rsidRDefault="008E0582" w:rsidP="008E0582">
      <w:pPr>
        <w:jc w:val="both"/>
        <w:rPr>
          <w:sz w:val="20"/>
          <w:szCs w:val="20"/>
        </w:rPr>
      </w:pPr>
      <w:r w:rsidRPr="004A053E">
        <w:rPr>
          <w:sz w:val="20"/>
          <w:szCs w:val="20"/>
        </w:rPr>
        <w:t>The CFPSD approach embraces the following:</w:t>
      </w:r>
    </w:p>
    <w:p w:rsidR="008E0582" w:rsidRPr="004A053E" w:rsidRDefault="008E0582" w:rsidP="008E0582">
      <w:pPr>
        <w:numPr>
          <w:ilvl w:val="0"/>
          <w:numId w:val="8"/>
        </w:numPr>
        <w:jc w:val="both"/>
        <w:rPr>
          <w:color w:val="0E101A"/>
          <w:sz w:val="20"/>
          <w:szCs w:val="20"/>
        </w:rPr>
      </w:pPr>
      <w:r w:rsidRPr="004A053E">
        <w:rPr>
          <w:color w:val="0E101A"/>
          <w:sz w:val="20"/>
          <w:szCs w:val="20"/>
        </w:rPr>
        <w:t>Augmentation of a small in-scale dataset by using linear regression.</w:t>
      </w:r>
    </w:p>
    <w:p w:rsidR="008E0582" w:rsidRPr="004A053E" w:rsidRDefault="008E0582" w:rsidP="008E0582">
      <w:pPr>
        <w:numPr>
          <w:ilvl w:val="0"/>
          <w:numId w:val="8"/>
        </w:numPr>
        <w:jc w:val="both"/>
        <w:rPr>
          <w:color w:val="0E101A"/>
          <w:sz w:val="20"/>
          <w:szCs w:val="20"/>
        </w:rPr>
      </w:pPr>
      <w:r w:rsidRPr="004A053E">
        <w:rPr>
          <w:color w:val="0E101A"/>
          <w:sz w:val="20"/>
          <w:szCs w:val="20"/>
        </w:rPr>
        <w:t>The augmented dataset partitioned into a proportion of 70:30 for creating the training set and test set.</w:t>
      </w:r>
    </w:p>
    <w:p w:rsidR="008E0582" w:rsidRPr="004A053E" w:rsidRDefault="008E0582" w:rsidP="008E0582">
      <w:pPr>
        <w:numPr>
          <w:ilvl w:val="0"/>
          <w:numId w:val="8"/>
        </w:numPr>
        <w:jc w:val="both"/>
        <w:rPr>
          <w:color w:val="0E101A"/>
          <w:sz w:val="20"/>
          <w:szCs w:val="20"/>
        </w:rPr>
      </w:pPr>
      <w:r w:rsidRPr="004A053E">
        <w:rPr>
          <w:color w:val="0E101A"/>
          <w:sz w:val="20"/>
          <w:szCs w:val="20"/>
        </w:rPr>
        <w:t xml:space="preserve">The machine classifiers, such as Random Forest Model (RFM) </w:t>
      </w:r>
      <w:r w:rsidRPr="004A053E">
        <w:rPr>
          <w:sz w:val="20"/>
          <w:szCs w:val="20"/>
        </w:rPr>
        <w:t>[</w:t>
      </w:r>
      <w:r>
        <w:rPr>
          <w:sz w:val="20"/>
          <w:szCs w:val="20"/>
        </w:rPr>
        <w:t>9</w:t>
      </w:r>
      <w:r w:rsidRPr="004A053E">
        <w:rPr>
          <w:sz w:val="20"/>
          <w:szCs w:val="20"/>
        </w:rPr>
        <w:t xml:space="preserve">] </w:t>
      </w:r>
      <w:r w:rsidRPr="004A053E">
        <w:rPr>
          <w:color w:val="0E101A"/>
          <w:sz w:val="20"/>
          <w:szCs w:val="20"/>
        </w:rPr>
        <w:t xml:space="preserve">and Multi-Layer Perceptron (MLP) </w:t>
      </w:r>
      <w:r w:rsidRPr="004A053E">
        <w:rPr>
          <w:sz w:val="20"/>
          <w:szCs w:val="20"/>
        </w:rPr>
        <w:t>[</w:t>
      </w:r>
      <w:r>
        <w:rPr>
          <w:sz w:val="20"/>
          <w:szCs w:val="20"/>
        </w:rPr>
        <w:t>10</w:t>
      </w:r>
      <w:r w:rsidRPr="004A053E">
        <w:rPr>
          <w:sz w:val="20"/>
          <w:szCs w:val="20"/>
        </w:rPr>
        <w:t>]</w:t>
      </w:r>
      <w:r w:rsidRPr="004A053E">
        <w:rPr>
          <w:color w:val="0E101A"/>
          <w:sz w:val="20"/>
          <w:szCs w:val="20"/>
        </w:rPr>
        <w:t>, employed, and the RMSE values obtained.</w:t>
      </w:r>
    </w:p>
    <w:p w:rsidR="008E0582" w:rsidRPr="004A053E" w:rsidRDefault="008E0582" w:rsidP="008E0582">
      <w:pPr>
        <w:numPr>
          <w:ilvl w:val="0"/>
          <w:numId w:val="8"/>
        </w:numPr>
        <w:jc w:val="both"/>
        <w:rPr>
          <w:color w:val="0E101A"/>
          <w:sz w:val="20"/>
          <w:szCs w:val="20"/>
        </w:rPr>
      </w:pPr>
      <w:r w:rsidRPr="004A053E">
        <w:rPr>
          <w:color w:val="0E101A"/>
          <w:sz w:val="20"/>
          <w:szCs w:val="20"/>
        </w:rPr>
        <w:t>The parameter settings are sensitive to the performances of [9</w:t>
      </w:r>
      <w:r>
        <w:rPr>
          <w:color w:val="0E101A"/>
          <w:sz w:val="20"/>
          <w:szCs w:val="20"/>
        </w:rPr>
        <w:t>-10</w:t>
      </w:r>
      <w:r w:rsidRPr="004A053E">
        <w:rPr>
          <w:color w:val="0E101A"/>
          <w:sz w:val="20"/>
          <w:szCs w:val="20"/>
        </w:rPr>
        <w:t>]. Consequently, parametric fine-tuning performed to minimize the RMSE score.</w:t>
      </w:r>
    </w:p>
    <w:p w:rsidR="008E0582" w:rsidRPr="008E0582" w:rsidRDefault="008E0582" w:rsidP="008E0582">
      <w:pPr>
        <w:numPr>
          <w:ilvl w:val="0"/>
          <w:numId w:val="8"/>
        </w:numPr>
        <w:jc w:val="both"/>
        <w:rPr>
          <w:color w:val="FF0000"/>
          <w:sz w:val="20"/>
          <w:szCs w:val="20"/>
        </w:rPr>
      </w:pPr>
      <w:r w:rsidRPr="004A053E">
        <w:rPr>
          <w:sz w:val="20"/>
          <w:szCs w:val="20"/>
        </w:rPr>
        <w:t xml:space="preserve">The CFPSD model </w:t>
      </w:r>
      <w:r>
        <w:rPr>
          <w:sz w:val="20"/>
          <w:szCs w:val="20"/>
        </w:rPr>
        <w:t xml:space="preserve">also </w:t>
      </w:r>
      <w:r w:rsidRPr="004A053E">
        <w:rPr>
          <w:sz w:val="20"/>
          <w:szCs w:val="20"/>
        </w:rPr>
        <w:t>incorporates the traditional methods such as, The Auto-Regressive Integrated Moving Average</w:t>
      </w:r>
      <w:r w:rsidRPr="004A053E">
        <w:rPr>
          <w:b/>
          <w:sz w:val="20"/>
          <w:szCs w:val="20"/>
        </w:rPr>
        <w:t xml:space="preserve"> (ARIMA)</w:t>
      </w:r>
      <w:r w:rsidRPr="004A053E">
        <w:rPr>
          <w:sz w:val="20"/>
          <w:szCs w:val="20"/>
        </w:rPr>
        <w:t xml:space="preserve">, </w:t>
      </w:r>
      <w:r w:rsidRPr="004A053E">
        <w:rPr>
          <w:b/>
          <w:sz w:val="20"/>
          <w:szCs w:val="20"/>
        </w:rPr>
        <w:t>ETS</w:t>
      </w:r>
      <w:r w:rsidRPr="004A053E">
        <w:rPr>
          <w:sz w:val="20"/>
          <w:szCs w:val="20"/>
        </w:rPr>
        <w:t>, and Linear Regression-Lag (</w:t>
      </w:r>
      <w:r w:rsidRPr="004A053E">
        <w:rPr>
          <w:b/>
          <w:sz w:val="20"/>
          <w:szCs w:val="20"/>
        </w:rPr>
        <w:t>LR-lag</w:t>
      </w:r>
      <w:r w:rsidRPr="004A053E">
        <w:rPr>
          <w:sz w:val="20"/>
          <w:szCs w:val="20"/>
        </w:rPr>
        <w:t>)</w:t>
      </w:r>
      <w:r>
        <w:rPr>
          <w:sz w:val="20"/>
          <w:szCs w:val="20"/>
        </w:rPr>
        <w:t xml:space="preserve">, </w:t>
      </w:r>
      <w:r w:rsidRPr="004A053E">
        <w:rPr>
          <w:sz w:val="20"/>
          <w:szCs w:val="20"/>
        </w:rPr>
        <w:t>and the corresponding RMSE values noted.</w:t>
      </w:r>
    </w:p>
    <w:p w:rsidR="008E0582" w:rsidRPr="004A053E" w:rsidRDefault="008E0582" w:rsidP="008E0582">
      <w:pPr>
        <w:ind w:left="360"/>
        <w:jc w:val="both"/>
        <w:rPr>
          <w:color w:val="FF0000"/>
          <w:sz w:val="20"/>
          <w:szCs w:val="20"/>
        </w:rPr>
      </w:pPr>
    </w:p>
    <w:p w:rsidR="008E0582" w:rsidRDefault="008E0582" w:rsidP="008E0582">
      <w:pPr>
        <w:pStyle w:val="IETParagraph"/>
        <w:spacing w:line="240" w:lineRule="auto"/>
        <w:rPr>
          <w:color w:val="000000" w:themeColor="text1"/>
          <w:sz w:val="20"/>
          <w:szCs w:val="18"/>
        </w:rPr>
      </w:pPr>
      <w:r w:rsidRPr="004A053E">
        <w:rPr>
          <w:color w:val="0E101A"/>
          <w:sz w:val="20"/>
          <w:szCs w:val="20"/>
        </w:rPr>
        <w:t>Finally, all the RMSE values compared to conclude the performance of the proposed model.</w:t>
      </w:r>
    </w:p>
    <w:p w:rsidR="00512B38" w:rsidRDefault="00512B38" w:rsidP="00E90C59">
      <w:pPr>
        <w:pStyle w:val="IETParagraph"/>
        <w:spacing w:line="240" w:lineRule="auto"/>
        <w:rPr>
          <w:sz w:val="20"/>
          <w:szCs w:val="18"/>
        </w:rPr>
        <w:sectPr w:rsidR="00512B38" w:rsidSect="003F7E5D">
          <w:type w:val="continuous"/>
          <w:pgSz w:w="11906" w:h="16838"/>
          <w:pgMar w:top="1134" w:right="851" w:bottom="1134" w:left="851" w:header="709" w:footer="551" w:gutter="0"/>
          <w:cols w:num="2" w:space="454"/>
          <w:docGrid w:linePitch="360"/>
        </w:sectPr>
      </w:pPr>
    </w:p>
    <w:p w:rsidR="008E0582" w:rsidRDefault="008E0582" w:rsidP="00512B38">
      <w:pPr>
        <w:pStyle w:val="IETParagraph"/>
        <w:spacing w:line="240" w:lineRule="auto"/>
        <w:jc w:val="center"/>
        <w:rPr>
          <w:sz w:val="20"/>
          <w:szCs w:val="18"/>
        </w:rPr>
      </w:pPr>
    </w:p>
    <w:p w:rsidR="008E0582" w:rsidRDefault="008E0582" w:rsidP="008E0582">
      <w:pPr>
        <w:pStyle w:val="IETParagraph"/>
        <w:spacing w:line="240" w:lineRule="auto"/>
        <w:ind w:firstLine="0"/>
        <w:jc w:val="center"/>
        <w:rPr>
          <w:sz w:val="20"/>
          <w:szCs w:val="18"/>
        </w:rPr>
      </w:pPr>
    </w:p>
    <w:p w:rsidR="00512B38" w:rsidRDefault="00AE4C26" w:rsidP="008E0582">
      <w:pPr>
        <w:pStyle w:val="IETParagraph"/>
        <w:spacing w:line="240" w:lineRule="auto"/>
        <w:ind w:firstLine="0"/>
        <w:jc w:val="center"/>
        <w:rPr>
          <w:sz w:val="20"/>
          <w:szCs w:val="18"/>
        </w:rPr>
      </w:pPr>
      <w:r>
        <w:rPr>
          <w:noProof/>
          <w:sz w:val="20"/>
          <w:szCs w:val="18"/>
          <w:lang w:val="en-US" w:eastAsia="en-US"/>
        </w:rPr>
        <w:drawing>
          <wp:inline distT="0" distB="0" distL="0" distR="0">
            <wp:extent cx="6009613" cy="5065874"/>
            <wp:effectExtent l="0" t="0" r="0" b="1905"/>
            <wp:docPr id="4" name="Picture 4"/>
            <wp:cNvGraphicFramePr/>
            <a:graphic xmlns:a="http://schemas.openxmlformats.org/drawingml/2006/main">
              <a:graphicData uri="http://schemas.openxmlformats.org/drawingml/2006/picture">
                <pic:pic xmlns:pic="http://schemas.openxmlformats.org/drawingml/2006/picture">
                  <pic:nvPicPr>
                    <pic:cNvPr id="1301158163" name="Fig. 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78"/>
                    <a:stretch>
                      <a:fillRect/>
                    </a:stretch>
                  </pic:blipFill>
                  <pic:spPr bwMode="auto">
                    <a:xfrm>
                      <a:off x="0" y="0"/>
                      <a:ext cx="6009613" cy="506587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059CC" w:rsidRDefault="00AE4C26" w:rsidP="00512B38">
      <w:pPr>
        <w:jc w:val="center"/>
        <w:rPr>
          <w:i/>
          <w:sz w:val="20"/>
          <w:szCs w:val="18"/>
        </w:rPr>
      </w:pPr>
      <w:r w:rsidRPr="008631C9">
        <w:rPr>
          <w:b/>
          <w:i/>
          <w:sz w:val="20"/>
          <w:szCs w:val="18"/>
        </w:rPr>
        <w:t>Fig. 1</w:t>
      </w:r>
      <w:r w:rsidR="008631C9" w:rsidRPr="008631C9">
        <w:rPr>
          <w:b/>
          <w:i/>
          <w:sz w:val="20"/>
          <w:szCs w:val="18"/>
        </w:rPr>
        <w:t>.</w:t>
      </w:r>
      <w:r w:rsidRPr="00936D6B">
        <w:rPr>
          <w:i/>
          <w:sz w:val="20"/>
          <w:szCs w:val="18"/>
        </w:rPr>
        <w:t>CFPSD model</w:t>
      </w:r>
    </w:p>
    <w:p w:rsidR="00512B38" w:rsidRDefault="00512B38" w:rsidP="00512B38">
      <w:pPr>
        <w:pStyle w:val="IETParagraph"/>
        <w:spacing w:line="240" w:lineRule="auto"/>
        <w:jc w:val="center"/>
        <w:rPr>
          <w:sz w:val="20"/>
          <w:szCs w:val="18"/>
        </w:rPr>
      </w:pPr>
    </w:p>
    <w:p w:rsidR="006322DE" w:rsidRDefault="006322DE" w:rsidP="00512B38">
      <w:pPr>
        <w:pStyle w:val="IETParagraph"/>
        <w:spacing w:line="240" w:lineRule="auto"/>
        <w:jc w:val="center"/>
        <w:rPr>
          <w:sz w:val="20"/>
          <w:szCs w:val="18"/>
        </w:rPr>
        <w:sectPr w:rsidR="006322DE" w:rsidSect="00512B38">
          <w:type w:val="continuous"/>
          <w:pgSz w:w="11906" w:h="16838"/>
          <w:pgMar w:top="1134" w:right="851" w:bottom="1134" w:left="851" w:header="709" w:footer="709" w:gutter="0"/>
          <w:cols w:space="454"/>
          <w:docGrid w:linePitch="360"/>
        </w:sectPr>
      </w:pPr>
    </w:p>
    <w:p w:rsidR="008B023F" w:rsidRPr="000F534A" w:rsidRDefault="00AE4C26" w:rsidP="00144046">
      <w:pPr>
        <w:pStyle w:val="IETHeading1"/>
        <w:numPr>
          <w:ilvl w:val="0"/>
          <w:numId w:val="2"/>
        </w:numPr>
        <w:ind w:left="357" w:hanging="357"/>
        <w:rPr>
          <w:rStyle w:val="apple-converted-space"/>
          <w:sz w:val="20"/>
          <w:szCs w:val="20"/>
        </w:rPr>
      </w:pPr>
      <w:r w:rsidRPr="002F7DB5">
        <w:rPr>
          <w:sz w:val="20"/>
          <w:szCs w:val="18"/>
        </w:rPr>
        <w:t>Methodology</w:t>
      </w:r>
      <w:r w:rsidRPr="000F534A">
        <w:rPr>
          <w:rStyle w:val="apple-converted-space"/>
          <w:sz w:val="20"/>
          <w:szCs w:val="20"/>
        </w:rPr>
        <w:t> </w:t>
      </w:r>
    </w:p>
    <w:p w:rsidR="00715377" w:rsidRPr="00C12807" w:rsidRDefault="00AE4C26" w:rsidP="00D914C7">
      <w:pPr>
        <w:pStyle w:val="IETParagraph"/>
        <w:spacing w:line="240" w:lineRule="auto"/>
        <w:rPr>
          <w:color w:val="0E101A"/>
          <w:sz w:val="20"/>
          <w:szCs w:val="18"/>
        </w:rPr>
      </w:pPr>
      <w:r w:rsidRPr="00C12807">
        <w:rPr>
          <w:color w:val="0E101A"/>
          <w:sz w:val="20"/>
          <w:szCs w:val="18"/>
        </w:rPr>
        <w:t xml:space="preserve">At the initial stage of an international outbreak of the nCoV-2019 epidemic, limited data is available. Therefore, our CFPSD model has to encounter a high degree of contingency. Considering that the virus is novel and needs human expertise for the evaluation of catastrophe induced by nCoV-2019, a hybrid and collaborative forecast model is warranted. Therefore, an </w:t>
      </w:r>
      <w:r w:rsidR="005D2E5A">
        <w:rPr>
          <w:color w:val="0E101A"/>
          <w:sz w:val="20"/>
          <w:szCs w:val="18"/>
        </w:rPr>
        <w:t>ML</w:t>
      </w:r>
      <w:r w:rsidRPr="00C12807">
        <w:rPr>
          <w:color w:val="0E101A"/>
          <w:sz w:val="20"/>
          <w:szCs w:val="18"/>
        </w:rPr>
        <w:t xml:space="preserve"> approach on a small dataset demanded with the following objectives:</w:t>
      </w:r>
    </w:p>
    <w:p w:rsidR="00C12807" w:rsidRPr="00C12807" w:rsidRDefault="00AE4C26" w:rsidP="00144046">
      <w:pPr>
        <w:numPr>
          <w:ilvl w:val="0"/>
          <w:numId w:val="5"/>
        </w:numPr>
        <w:ind w:left="357" w:hanging="357"/>
        <w:jc w:val="both"/>
        <w:rPr>
          <w:color w:val="0E101A"/>
          <w:sz w:val="20"/>
          <w:szCs w:val="18"/>
        </w:rPr>
      </w:pPr>
      <w:r w:rsidRPr="00C12807">
        <w:rPr>
          <w:color w:val="0E101A"/>
          <w:sz w:val="20"/>
          <w:szCs w:val="18"/>
        </w:rPr>
        <w:t>The forecasting model should be most competing among its peers, i.e., the one with the most moderate RMSE, and highest performance in terms of accuracy. </w:t>
      </w:r>
    </w:p>
    <w:p w:rsidR="002F54CA" w:rsidRDefault="00AE4C26" w:rsidP="00144046">
      <w:pPr>
        <w:numPr>
          <w:ilvl w:val="0"/>
          <w:numId w:val="5"/>
        </w:numPr>
        <w:ind w:left="357" w:hanging="357"/>
        <w:jc w:val="both"/>
        <w:rPr>
          <w:color w:val="0E101A"/>
          <w:sz w:val="20"/>
          <w:szCs w:val="18"/>
        </w:rPr>
      </w:pPr>
      <w:r w:rsidRPr="00C12807">
        <w:rPr>
          <w:color w:val="0E101A"/>
          <w:sz w:val="20"/>
          <w:szCs w:val="18"/>
        </w:rPr>
        <w:t>The best forecast candidate must be optimized to maximize the performance by fine-tuning of parameters.</w:t>
      </w:r>
    </w:p>
    <w:p w:rsidR="00C12807" w:rsidRPr="00B23F34" w:rsidRDefault="00AE4C26" w:rsidP="00144046">
      <w:pPr>
        <w:numPr>
          <w:ilvl w:val="0"/>
          <w:numId w:val="5"/>
        </w:numPr>
        <w:ind w:left="357" w:hanging="357"/>
        <w:jc w:val="both"/>
        <w:rPr>
          <w:sz w:val="20"/>
          <w:szCs w:val="20"/>
          <w:shd w:val="clear" w:color="auto" w:fill="FFFFFF"/>
        </w:rPr>
      </w:pPr>
      <w:r w:rsidRPr="00B23F34">
        <w:rPr>
          <w:sz w:val="20"/>
          <w:szCs w:val="20"/>
          <w:shd w:val="clear" w:color="auto" w:fill="FFFFFF"/>
        </w:rPr>
        <w:t xml:space="preserve">The proposed model must be designed to offer reasonable classification accuracy under the constraints such as </w:t>
      </w:r>
      <w:r w:rsidR="00FD264D" w:rsidRPr="00B23F34">
        <w:rPr>
          <w:sz w:val="20"/>
          <w:szCs w:val="20"/>
          <w:shd w:val="clear" w:color="auto" w:fill="FFFFFF"/>
        </w:rPr>
        <w:t xml:space="preserve">inadequate </w:t>
      </w:r>
      <w:r w:rsidR="00FD264D">
        <w:rPr>
          <w:sz w:val="20"/>
          <w:szCs w:val="20"/>
          <w:shd w:val="clear" w:color="auto" w:fill="FFFFFF"/>
        </w:rPr>
        <w:t>availability</w:t>
      </w:r>
      <w:r w:rsidRPr="00B23F34">
        <w:rPr>
          <w:sz w:val="20"/>
          <w:szCs w:val="20"/>
          <w:shd w:val="clear" w:color="auto" w:fill="FFFFFF"/>
        </w:rPr>
        <w:t xml:space="preserve"> of data and knowledge.</w:t>
      </w:r>
    </w:p>
    <w:p w:rsidR="00666AF4" w:rsidRPr="00666AF4" w:rsidRDefault="00AE4C26" w:rsidP="00F00781">
      <w:pPr>
        <w:pStyle w:val="IETParagraph"/>
        <w:spacing w:line="240" w:lineRule="auto"/>
        <w:rPr>
          <w:sz w:val="22"/>
          <w:szCs w:val="20"/>
          <w:shd w:val="clear" w:color="auto" w:fill="FFFFFF"/>
        </w:rPr>
      </w:pPr>
      <w:r w:rsidRPr="00666AF4">
        <w:rPr>
          <w:sz w:val="20"/>
          <w:szCs w:val="18"/>
        </w:rPr>
        <w:t>Our principal research design is based on collaboration between two sets, i.e., a set of machine classifiers, and a set of a traditional forecast approach. Both of these sets accept regression-based augmented data. A detailed description of CFPSD model as follows:</w:t>
      </w:r>
    </w:p>
    <w:p w:rsidR="00A75F35" w:rsidRPr="008C3792" w:rsidRDefault="00A75F35" w:rsidP="008C3792">
      <w:pPr>
        <w:jc w:val="both"/>
        <w:rPr>
          <w:sz w:val="20"/>
          <w:szCs w:val="18"/>
        </w:rPr>
      </w:pPr>
    </w:p>
    <w:p w:rsidR="008C3792" w:rsidRPr="008C3792" w:rsidRDefault="00AE4C26" w:rsidP="00144046">
      <w:pPr>
        <w:pStyle w:val="ListParagraph"/>
        <w:numPr>
          <w:ilvl w:val="0"/>
          <w:numId w:val="6"/>
        </w:numPr>
        <w:ind w:left="357" w:hanging="357"/>
        <w:jc w:val="both"/>
        <w:rPr>
          <w:b/>
          <w:sz w:val="20"/>
          <w:szCs w:val="18"/>
        </w:rPr>
      </w:pPr>
      <w:r w:rsidRPr="008C3792">
        <w:rPr>
          <w:b/>
          <w:sz w:val="20"/>
          <w:szCs w:val="18"/>
        </w:rPr>
        <w:t xml:space="preserve">Dataset </w:t>
      </w:r>
    </w:p>
    <w:p w:rsidR="008C3792" w:rsidRDefault="00AE4C26" w:rsidP="00A223D7">
      <w:pPr>
        <w:ind w:firstLine="567"/>
        <w:jc w:val="both"/>
        <w:rPr>
          <w:sz w:val="18"/>
          <w:szCs w:val="18"/>
        </w:rPr>
      </w:pPr>
      <w:r w:rsidRPr="008C3792">
        <w:rPr>
          <w:sz w:val="20"/>
          <w:szCs w:val="18"/>
        </w:rPr>
        <w:t xml:space="preserve">Our analysis is based on the public report given by </w:t>
      </w:r>
      <w:r w:rsidRPr="008C3792">
        <w:rPr>
          <w:b/>
          <w:sz w:val="20"/>
          <w:szCs w:val="18"/>
        </w:rPr>
        <w:t>WHO</w:t>
      </w:r>
      <w:r w:rsidRPr="008C3792">
        <w:rPr>
          <w:sz w:val="20"/>
          <w:szCs w:val="18"/>
        </w:rPr>
        <w:t xml:space="preserve"> [1</w:t>
      </w:r>
      <w:r w:rsidR="009E51C7">
        <w:rPr>
          <w:sz w:val="20"/>
          <w:szCs w:val="18"/>
        </w:rPr>
        <w:t>1</w:t>
      </w:r>
      <w:r w:rsidRPr="008C3792">
        <w:rPr>
          <w:sz w:val="20"/>
          <w:szCs w:val="18"/>
        </w:rPr>
        <w:t xml:space="preserve">], consisting of small observations about no. of people effected and died due to the 2019-nCoV epidemic in China from </w:t>
      </w:r>
      <w:r w:rsidRPr="00B7620B">
        <w:rPr>
          <w:b/>
          <w:sz w:val="20"/>
          <w:szCs w:val="18"/>
        </w:rPr>
        <w:t>21</w:t>
      </w:r>
      <w:r w:rsidRPr="00B7620B">
        <w:rPr>
          <w:b/>
          <w:sz w:val="20"/>
          <w:szCs w:val="18"/>
          <w:vertAlign w:val="superscript"/>
        </w:rPr>
        <w:t>st</w:t>
      </w:r>
      <w:r w:rsidRPr="00B7620B">
        <w:rPr>
          <w:b/>
          <w:sz w:val="20"/>
          <w:szCs w:val="18"/>
        </w:rPr>
        <w:t xml:space="preserve"> January 2020 </w:t>
      </w:r>
      <w:r w:rsidRPr="002B2212">
        <w:rPr>
          <w:sz w:val="20"/>
          <w:szCs w:val="18"/>
        </w:rPr>
        <w:t xml:space="preserve">to </w:t>
      </w:r>
      <w:r w:rsidRPr="00B7620B">
        <w:rPr>
          <w:b/>
          <w:sz w:val="20"/>
          <w:szCs w:val="18"/>
        </w:rPr>
        <w:t>14</w:t>
      </w:r>
      <w:r w:rsidRPr="00B7620B">
        <w:rPr>
          <w:b/>
          <w:sz w:val="20"/>
          <w:szCs w:val="18"/>
          <w:vertAlign w:val="superscript"/>
        </w:rPr>
        <w:t>th</w:t>
      </w:r>
      <w:r w:rsidRPr="00B7620B">
        <w:rPr>
          <w:b/>
          <w:sz w:val="20"/>
          <w:szCs w:val="18"/>
        </w:rPr>
        <w:t xml:space="preserve"> February 2020</w:t>
      </w:r>
      <w:r w:rsidRPr="008C3792">
        <w:rPr>
          <w:sz w:val="20"/>
          <w:szCs w:val="18"/>
        </w:rPr>
        <w:t>.</w:t>
      </w:r>
    </w:p>
    <w:p w:rsidR="00A75F35" w:rsidRPr="002E38C4" w:rsidRDefault="00A75F35" w:rsidP="008C3792">
      <w:pPr>
        <w:jc w:val="both"/>
        <w:rPr>
          <w:sz w:val="20"/>
          <w:szCs w:val="18"/>
        </w:rPr>
      </w:pPr>
    </w:p>
    <w:p w:rsidR="008C3792" w:rsidRPr="002E38C4" w:rsidRDefault="00AE4C26" w:rsidP="00144046">
      <w:pPr>
        <w:pStyle w:val="ListParagraph"/>
        <w:numPr>
          <w:ilvl w:val="0"/>
          <w:numId w:val="6"/>
        </w:numPr>
        <w:ind w:left="357" w:hanging="357"/>
        <w:jc w:val="both"/>
        <w:rPr>
          <w:b/>
          <w:sz w:val="20"/>
          <w:szCs w:val="18"/>
        </w:rPr>
      </w:pPr>
      <w:r w:rsidRPr="002E38C4">
        <w:rPr>
          <w:b/>
          <w:sz w:val="20"/>
          <w:szCs w:val="18"/>
        </w:rPr>
        <w:t>Augmenting small dataset using Linear Regression</w:t>
      </w:r>
    </w:p>
    <w:p w:rsidR="00CD12AD" w:rsidRPr="002E38C4" w:rsidRDefault="00AE4C26" w:rsidP="00A223D7">
      <w:pPr>
        <w:tabs>
          <w:tab w:val="left" w:pos="5510"/>
        </w:tabs>
        <w:ind w:firstLine="567"/>
        <w:jc w:val="both"/>
        <w:rPr>
          <w:sz w:val="20"/>
          <w:szCs w:val="18"/>
        </w:rPr>
      </w:pPr>
      <w:r w:rsidRPr="002E38C4">
        <w:rPr>
          <w:b/>
          <w:sz w:val="20"/>
          <w:szCs w:val="18"/>
        </w:rPr>
        <w:t>Linear Regression</w:t>
      </w:r>
      <w:r w:rsidRPr="002E38C4">
        <w:rPr>
          <w:sz w:val="20"/>
          <w:szCs w:val="18"/>
        </w:rPr>
        <w:t xml:space="preserve"> method used to estimate the linear association between the independent variable and the dependent variable, given in (1).</w:t>
      </w:r>
    </w:p>
    <w:p w:rsidR="00CD12AD" w:rsidRPr="002E38C4" w:rsidRDefault="00CD12AD" w:rsidP="00CD12AD">
      <w:pPr>
        <w:pStyle w:val="IETParagraph"/>
        <w:spacing w:line="240" w:lineRule="auto"/>
        <w:rPr>
          <w:sz w:val="20"/>
          <w:szCs w:val="20"/>
        </w:rPr>
      </w:pPr>
    </w:p>
    <w:p w:rsidR="00CD12AD" w:rsidRPr="00C92CEB" w:rsidRDefault="00AE4C26" w:rsidP="002E38C4">
      <w:pPr>
        <w:pStyle w:val="IETParagraph"/>
        <w:tabs>
          <w:tab w:val="left" w:pos="993"/>
          <w:tab w:val="left" w:pos="3969"/>
        </w:tabs>
        <w:spacing w:line="240" w:lineRule="auto"/>
        <w:ind w:firstLine="0"/>
        <w:rPr>
          <w:sz w:val="22"/>
          <w:szCs w:val="20"/>
        </w:rPr>
      </w:pPr>
      <m:oMathPara>
        <m:oMath>
          <m:r>
            <w:rPr>
              <w:rFonts w:ascii="Cambria Math" w:hAnsi="Cambria Math"/>
              <w:sz w:val="20"/>
              <w:szCs w:val="18"/>
            </w:rPr>
            <m:t>Y=</m:t>
          </m:r>
          <m:sSub>
            <m:sSubPr>
              <m:ctrlPr>
                <w:rPr>
                  <w:rFonts w:ascii="Cambria Math" w:hAnsi="Cambria Math"/>
                  <w:i/>
                  <w:sz w:val="20"/>
                  <w:szCs w:val="18"/>
                </w:rPr>
              </m:ctrlPr>
            </m:sSubPr>
            <m:e>
              <m:r>
                <w:rPr>
                  <w:rFonts w:ascii="Cambria Math" w:hAnsi="Cambria Math"/>
                  <w:sz w:val="20"/>
                  <w:szCs w:val="18"/>
                </w:rPr>
                <m:t>b</m:t>
              </m:r>
            </m:e>
            <m:sub>
              <m:r>
                <w:rPr>
                  <w:rFonts w:ascii="Cambria Math" w:hAnsi="Cambria Math"/>
                  <w:sz w:val="20"/>
                  <w:szCs w:val="18"/>
                </w:rPr>
                <m:t>yx</m:t>
              </m:r>
            </m:sub>
          </m:sSub>
          <m:r>
            <w:rPr>
              <w:rFonts w:ascii="Cambria Math" w:hAnsi="Cambria Math"/>
              <w:sz w:val="20"/>
              <w:szCs w:val="18"/>
            </w:rPr>
            <m:t>X+C      (1)</m:t>
          </m:r>
        </m:oMath>
      </m:oMathPara>
    </w:p>
    <w:p w:rsidR="00CD12AD" w:rsidRPr="006C449C" w:rsidRDefault="00CD12AD" w:rsidP="00CD12AD">
      <w:pPr>
        <w:pStyle w:val="IETParagraph"/>
        <w:spacing w:line="240" w:lineRule="auto"/>
        <w:ind w:firstLine="0"/>
        <w:rPr>
          <w:sz w:val="20"/>
          <w:szCs w:val="20"/>
          <w:shd w:val="clear" w:color="auto" w:fill="FFFFFF"/>
        </w:rPr>
      </w:pPr>
    </w:p>
    <w:p w:rsidR="001020F6" w:rsidRPr="007C22EE" w:rsidRDefault="00AE4C26" w:rsidP="007C22EE">
      <w:pPr>
        <w:pStyle w:val="IETParagraph"/>
        <w:spacing w:line="240" w:lineRule="auto"/>
        <w:rPr>
          <w:rFonts w:eastAsiaTheme="minorEastAsia"/>
          <w:sz w:val="20"/>
          <w:szCs w:val="18"/>
        </w:rPr>
      </w:pPr>
      <w:r w:rsidRPr="004212AD">
        <w:rPr>
          <w:rFonts w:eastAsiaTheme="minorEastAsia"/>
          <w:sz w:val="20"/>
          <w:szCs w:val="18"/>
        </w:rPr>
        <w:t xml:space="preserve">In (1), </w:t>
      </w:r>
      <m:oMath>
        <m:sSub>
          <m:sSubPr>
            <m:ctrlPr>
              <w:rPr>
                <w:rFonts w:ascii="Cambria Math" w:hAnsi="Cambria Math"/>
                <w:i/>
                <w:sz w:val="20"/>
                <w:szCs w:val="18"/>
              </w:rPr>
            </m:ctrlPr>
          </m:sSubPr>
          <m:e>
            <m:r>
              <w:rPr>
                <w:rFonts w:ascii="Cambria Math" w:hAnsi="Cambria Math"/>
                <w:sz w:val="20"/>
                <w:szCs w:val="18"/>
              </w:rPr>
              <m:t>b</m:t>
            </m:r>
          </m:e>
          <m:sub>
            <m:r>
              <w:rPr>
                <w:rFonts w:ascii="Cambria Math" w:hAnsi="Cambria Math"/>
                <w:sz w:val="20"/>
                <w:szCs w:val="18"/>
              </w:rPr>
              <m:t>yx</m:t>
            </m:r>
          </m:sub>
        </m:sSub>
      </m:oMath>
      <w:r w:rsidRPr="004212AD">
        <w:rPr>
          <w:rFonts w:eastAsiaTheme="minorEastAsia"/>
          <w:sz w:val="20"/>
          <w:szCs w:val="18"/>
        </w:rPr>
        <w:t xml:space="preserve"> is the slope of the regression line Y on X, C is the intercept, X is the independent variable, and Y is the dependent variable. The regression coefficient </w:t>
      </w:r>
      <m:oMath>
        <m:sSub>
          <m:sSubPr>
            <m:ctrlPr>
              <w:rPr>
                <w:rFonts w:ascii="Cambria Math" w:hAnsi="Cambria Math"/>
                <w:i/>
                <w:sz w:val="20"/>
                <w:szCs w:val="18"/>
              </w:rPr>
            </m:ctrlPr>
          </m:sSubPr>
          <m:e>
            <m:r>
              <w:rPr>
                <w:rFonts w:ascii="Cambria Math" w:hAnsi="Cambria Math"/>
                <w:sz w:val="20"/>
                <w:szCs w:val="18"/>
              </w:rPr>
              <m:t>b</m:t>
            </m:r>
          </m:e>
          <m:sub>
            <m:r>
              <w:rPr>
                <w:rFonts w:ascii="Cambria Math" w:hAnsi="Cambria Math"/>
                <w:sz w:val="20"/>
                <w:szCs w:val="18"/>
              </w:rPr>
              <m:t>yx</m:t>
            </m:r>
          </m:sub>
        </m:sSub>
      </m:oMath>
      <w:r w:rsidRPr="004212AD">
        <w:rPr>
          <w:rFonts w:eastAsiaTheme="minorEastAsia"/>
          <w:sz w:val="20"/>
          <w:szCs w:val="18"/>
        </w:rPr>
        <w:t xml:space="preserve"> is given in (2).</w:t>
      </w:r>
    </w:p>
    <w:p w:rsidR="001020F6" w:rsidRPr="00C92CEB" w:rsidRDefault="00E80A5E" w:rsidP="001020F6">
      <w:pPr>
        <w:pStyle w:val="IETParagraph"/>
        <w:tabs>
          <w:tab w:val="left" w:pos="3969"/>
        </w:tabs>
        <w:spacing w:line="240" w:lineRule="auto"/>
        <w:ind w:firstLine="0"/>
        <w:rPr>
          <w:sz w:val="22"/>
          <w:szCs w:val="20"/>
        </w:rPr>
      </w:pPr>
      <m:oMathPara>
        <m:oMath>
          <m:sSub>
            <m:sSubPr>
              <m:ctrlPr>
                <w:rPr>
                  <w:rFonts w:ascii="Cambria Math" w:eastAsiaTheme="minorEastAsia" w:hAnsi="Cambria Math"/>
                  <w:i/>
                  <w:sz w:val="20"/>
                  <w:szCs w:val="18"/>
                </w:rPr>
              </m:ctrlPr>
            </m:sSubPr>
            <m:e>
              <m:r>
                <w:rPr>
                  <w:rFonts w:ascii="Cambria Math" w:eastAsiaTheme="minorEastAsia" w:hAnsi="Cambria Math"/>
                  <w:sz w:val="20"/>
                  <w:szCs w:val="18"/>
                </w:rPr>
                <m:t>b</m:t>
              </m:r>
            </m:e>
            <m:sub>
              <m:r>
                <w:rPr>
                  <w:rFonts w:ascii="Cambria Math" w:eastAsiaTheme="minorEastAsia" w:hAnsi="Cambria Math"/>
                  <w:sz w:val="20"/>
                  <w:szCs w:val="18"/>
                </w:rPr>
                <m:t>yx</m:t>
              </m:r>
            </m:sub>
          </m:sSub>
          <m:r>
            <w:rPr>
              <w:rFonts w:ascii="Cambria Math" w:eastAsiaTheme="minorEastAsia" w:hAnsi="Cambria Math"/>
              <w:sz w:val="20"/>
              <w:szCs w:val="18"/>
            </w:rPr>
            <m:t xml:space="preserve">= </m:t>
          </m:r>
          <m:f>
            <m:fPr>
              <m:ctrlPr>
                <w:rPr>
                  <w:rFonts w:ascii="Cambria Math" w:eastAsiaTheme="minorEastAsia" w:hAnsi="Cambria Math"/>
                  <w:i/>
                  <w:sz w:val="20"/>
                  <w:szCs w:val="18"/>
                </w:rPr>
              </m:ctrlPr>
            </m:fPr>
            <m:num>
              <m:nary>
                <m:naryPr>
                  <m:chr m:val="∑"/>
                  <m:limLoc m:val="undOvr"/>
                  <m:subHide m:val="on"/>
                  <m:supHide m:val="on"/>
                  <m:ctrlPr>
                    <w:rPr>
                      <w:rFonts w:ascii="Cambria Math" w:eastAsiaTheme="minorEastAsia" w:hAnsi="Cambria Math"/>
                      <w:i/>
                      <w:sz w:val="20"/>
                      <w:szCs w:val="18"/>
                    </w:rPr>
                  </m:ctrlPr>
                </m:naryPr>
                <m:sub/>
                <m:sup/>
                <m:e>
                  <m:r>
                    <w:rPr>
                      <w:rFonts w:ascii="Cambria Math" w:eastAsiaTheme="minorEastAsia" w:hAnsi="Cambria Math"/>
                      <w:sz w:val="20"/>
                      <w:szCs w:val="18"/>
                    </w:rPr>
                    <m:t>XY</m:t>
                  </m:r>
                </m:e>
              </m:nary>
              <m:r>
                <w:rPr>
                  <w:rFonts w:ascii="Cambria Math" w:eastAsiaTheme="minorEastAsia" w:hAnsi="Cambria Math"/>
                  <w:sz w:val="20"/>
                  <w:szCs w:val="18"/>
                </w:rPr>
                <m:t>-N</m:t>
              </m:r>
              <m:acc>
                <m:accPr>
                  <m:chr m:val="̅"/>
                  <m:ctrlPr>
                    <w:rPr>
                      <w:rFonts w:ascii="Cambria Math" w:eastAsiaTheme="minorEastAsia" w:hAnsi="Cambria Math"/>
                      <w:i/>
                      <w:sz w:val="20"/>
                      <w:szCs w:val="18"/>
                    </w:rPr>
                  </m:ctrlPr>
                </m:accPr>
                <m:e>
                  <m:r>
                    <w:rPr>
                      <w:rFonts w:ascii="Cambria Math" w:eastAsiaTheme="minorEastAsia" w:hAnsi="Cambria Math"/>
                      <w:sz w:val="20"/>
                      <w:szCs w:val="18"/>
                    </w:rPr>
                    <m:t>X</m:t>
                  </m:r>
                </m:e>
              </m:acc>
              <m:acc>
                <m:accPr>
                  <m:chr m:val="̅"/>
                  <m:ctrlPr>
                    <w:rPr>
                      <w:rFonts w:ascii="Cambria Math" w:eastAsiaTheme="minorEastAsia" w:hAnsi="Cambria Math"/>
                      <w:i/>
                      <w:sz w:val="20"/>
                      <w:szCs w:val="18"/>
                    </w:rPr>
                  </m:ctrlPr>
                </m:accPr>
                <m:e>
                  <m:r>
                    <w:rPr>
                      <w:rFonts w:ascii="Cambria Math" w:eastAsiaTheme="minorEastAsia" w:hAnsi="Cambria Math"/>
                      <w:sz w:val="20"/>
                      <w:szCs w:val="18"/>
                    </w:rPr>
                    <m:t>Y</m:t>
                  </m:r>
                </m:e>
              </m:acc>
            </m:num>
            <m:den>
              <m:nary>
                <m:naryPr>
                  <m:chr m:val="∑"/>
                  <m:limLoc m:val="undOvr"/>
                  <m:subHide m:val="on"/>
                  <m:supHide m:val="on"/>
                  <m:ctrlPr>
                    <w:rPr>
                      <w:rFonts w:ascii="Cambria Math" w:eastAsiaTheme="minorEastAsia" w:hAnsi="Cambria Math"/>
                      <w:i/>
                      <w:sz w:val="20"/>
                      <w:szCs w:val="18"/>
                    </w:rPr>
                  </m:ctrlPr>
                </m:naryPr>
                <m:sub/>
                <m:sup/>
                <m:e>
                  <m:sSup>
                    <m:sSupPr>
                      <m:ctrlPr>
                        <w:rPr>
                          <w:rFonts w:ascii="Cambria Math" w:eastAsiaTheme="minorEastAsia" w:hAnsi="Cambria Math"/>
                          <w:i/>
                          <w:sz w:val="20"/>
                          <w:szCs w:val="18"/>
                        </w:rPr>
                      </m:ctrlPr>
                    </m:sSupPr>
                    <m:e>
                      <m:r>
                        <w:rPr>
                          <w:rFonts w:ascii="Cambria Math" w:eastAsiaTheme="minorEastAsia" w:hAnsi="Cambria Math"/>
                          <w:sz w:val="20"/>
                          <w:szCs w:val="18"/>
                        </w:rPr>
                        <m:t>X</m:t>
                      </m:r>
                    </m:e>
                    <m:sup>
                      <m:r>
                        <w:rPr>
                          <w:rFonts w:ascii="Cambria Math" w:eastAsiaTheme="minorEastAsia" w:hAnsi="Cambria Math"/>
                          <w:sz w:val="20"/>
                          <w:szCs w:val="18"/>
                        </w:rPr>
                        <m:t>2</m:t>
                      </m:r>
                    </m:sup>
                  </m:sSup>
                </m:e>
              </m:nary>
              <m:r>
                <w:rPr>
                  <w:rFonts w:ascii="Cambria Math" w:eastAsiaTheme="minorEastAsia" w:hAnsi="Cambria Math"/>
                  <w:sz w:val="20"/>
                  <w:szCs w:val="18"/>
                </w:rPr>
                <m:t>-N</m:t>
              </m:r>
              <m:sSup>
                <m:sSupPr>
                  <m:ctrlPr>
                    <w:rPr>
                      <w:rFonts w:ascii="Cambria Math" w:eastAsiaTheme="minorEastAsia" w:hAnsi="Cambria Math"/>
                      <w:i/>
                      <w:sz w:val="20"/>
                      <w:szCs w:val="18"/>
                    </w:rPr>
                  </m:ctrlPr>
                </m:sSupPr>
                <m:e>
                  <m:acc>
                    <m:accPr>
                      <m:chr m:val="̅"/>
                      <m:ctrlPr>
                        <w:rPr>
                          <w:rFonts w:ascii="Cambria Math" w:eastAsiaTheme="minorEastAsia" w:hAnsi="Cambria Math"/>
                          <w:i/>
                          <w:sz w:val="20"/>
                          <w:szCs w:val="18"/>
                        </w:rPr>
                      </m:ctrlPr>
                    </m:accPr>
                    <m:e>
                      <m:r>
                        <w:rPr>
                          <w:rFonts w:ascii="Cambria Math" w:eastAsiaTheme="minorEastAsia" w:hAnsi="Cambria Math"/>
                          <w:sz w:val="20"/>
                          <w:szCs w:val="18"/>
                        </w:rPr>
                        <m:t>X</m:t>
                      </m:r>
                    </m:e>
                  </m:acc>
                </m:e>
                <m:sup>
                  <m:r>
                    <w:rPr>
                      <w:rFonts w:ascii="Cambria Math" w:eastAsiaTheme="minorEastAsia" w:hAnsi="Cambria Math"/>
                      <w:sz w:val="20"/>
                      <w:szCs w:val="18"/>
                    </w:rPr>
                    <m:t>2</m:t>
                  </m:r>
                </m:sup>
              </m:sSup>
            </m:den>
          </m:f>
          <m:r>
            <w:rPr>
              <w:rFonts w:ascii="Cambria Math" w:hAnsi="Cambria Math"/>
              <w:sz w:val="20"/>
              <w:szCs w:val="18"/>
            </w:rPr>
            <m:t xml:space="preserve">      (2)</m:t>
          </m:r>
        </m:oMath>
      </m:oMathPara>
    </w:p>
    <w:p w:rsidR="00F6768B" w:rsidRDefault="00F6768B" w:rsidP="00F00781">
      <w:pPr>
        <w:pStyle w:val="IETParagraph"/>
        <w:spacing w:line="240" w:lineRule="auto"/>
        <w:rPr>
          <w:rFonts w:eastAsiaTheme="minorEastAsia"/>
          <w:sz w:val="20"/>
          <w:szCs w:val="20"/>
        </w:rPr>
      </w:pPr>
    </w:p>
    <w:p w:rsidR="001020F6" w:rsidRDefault="00AE4C26" w:rsidP="00F00781">
      <w:pPr>
        <w:pStyle w:val="IETParagraph"/>
        <w:spacing w:line="240" w:lineRule="auto"/>
        <w:rPr>
          <w:sz w:val="20"/>
          <w:szCs w:val="20"/>
        </w:rPr>
      </w:pPr>
      <w:r w:rsidRPr="001520A9">
        <w:rPr>
          <w:rFonts w:eastAsiaTheme="minorEastAsia"/>
          <w:sz w:val="20"/>
          <w:szCs w:val="20"/>
        </w:rPr>
        <w:t xml:space="preserve">In (2), N is the no. of observations. </w:t>
      </w:r>
      <w:r w:rsidRPr="001520A9">
        <w:rPr>
          <w:sz w:val="20"/>
          <w:szCs w:val="20"/>
        </w:rPr>
        <w:t>We augmented the dataset rendered by [1</w:t>
      </w:r>
      <w:r w:rsidR="00BD4195">
        <w:rPr>
          <w:sz w:val="20"/>
          <w:szCs w:val="20"/>
        </w:rPr>
        <w:t>1</w:t>
      </w:r>
      <w:r w:rsidRPr="001520A9">
        <w:rPr>
          <w:sz w:val="20"/>
          <w:szCs w:val="20"/>
        </w:rPr>
        <w:t>] of 25 days of the epidemic into a moderate dataset of 40 no. of days,</w:t>
      </w:r>
      <w:r w:rsidR="00B7620B">
        <w:rPr>
          <w:sz w:val="20"/>
          <w:szCs w:val="20"/>
        </w:rPr>
        <w:t xml:space="preserve"> i.e., </w:t>
      </w:r>
      <w:r w:rsidR="00B7620B" w:rsidRPr="00B7620B">
        <w:rPr>
          <w:b/>
          <w:sz w:val="20"/>
          <w:szCs w:val="20"/>
        </w:rPr>
        <w:t>up to 29</w:t>
      </w:r>
      <w:r w:rsidR="00B7620B" w:rsidRPr="00B7620B">
        <w:rPr>
          <w:b/>
          <w:sz w:val="20"/>
          <w:szCs w:val="20"/>
          <w:vertAlign w:val="superscript"/>
        </w:rPr>
        <w:t>th</w:t>
      </w:r>
      <w:r w:rsidR="00B7620B" w:rsidRPr="00B7620B">
        <w:rPr>
          <w:b/>
          <w:sz w:val="20"/>
          <w:szCs w:val="20"/>
        </w:rPr>
        <w:t xml:space="preserve"> February 2020</w:t>
      </w:r>
      <w:r w:rsidR="00B7620B">
        <w:rPr>
          <w:sz w:val="20"/>
          <w:szCs w:val="20"/>
        </w:rPr>
        <w:t>,</w:t>
      </w:r>
      <w:r w:rsidRPr="001520A9">
        <w:rPr>
          <w:sz w:val="20"/>
          <w:szCs w:val="20"/>
        </w:rPr>
        <w:t xml:space="preserve"> using the regression line given in (3)-(4).</w:t>
      </w:r>
    </w:p>
    <w:p w:rsidR="00842B85" w:rsidRDefault="00842B85" w:rsidP="00842B85">
      <w:pPr>
        <w:pStyle w:val="IETParagraph"/>
        <w:spacing w:line="240" w:lineRule="auto"/>
        <w:ind w:firstLine="0"/>
        <w:rPr>
          <w:sz w:val="20"/>
          <w:szCs w:val="20"/>
        </w:rPr>
      </w:pPr>
    </w:p>
    <w:p w:rsidR="00842B85" w:rsidRPr="009537FE" w:rsidRDefault="00E80A5E" w:rsidP="00842B85">
      <w:pPr>
        <w:pStyle w:val="IETParagraph"/>
        <w:tabs>
          <w:tab w:val="left" w:pos="3969"/>
        </w:tabs>
        <w:spacing w:line="240" w:lineRule="auto"/>
        <w:ind w:firstLine="0"/>
        <w:rPr>
          <w:sz w:val="20"/>
          <w:szCs w:val="18"/>
        </w:rPr>
      </w:pPr>
      <m:oMathPara>
        <m:oMath>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Y</m:t>
              </m:r>
            </m:e>
            <m:sub>
              <m:r>
                <m:rPr>
                  <m:sty m:val="p"/>
                </m:rPr>
                <w:rPr>
                  <w:rFonts w:ascii="Cambria Math" w:eastAsiaTheme="minorEastAsia" w:hAnsi="Cambria Math"/>
                  <w:sz w:val="20"/>
                  <w:szCs w:val="18"/>
                </w:rPr>
                <m:t>Death</m:t>
              </m:r>
            </m:sub>
          </m:sSub>
          <m:r>
            <w:rPr>
              <w:rFonts w:ascii="Cambria Math" w:eastAsiaTheme="minorEastAsia" w:hAnsi="Cambria Math"/>
              <w:sz w:val="20"/>
              <w:szCs w:val="18"/>
            </w:rPr>
            <m:t>=56.39*</m:t>
          </m:r>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X</m:t>
              </m:r>
            </m:e>
            <m:sub>
              <m:r>
                <m:rPr>
                  <m:sty m:val="p"/>
                </m:rPr>
                <w:rPr>
                  <w:rFonts w:ascii="Cambria Math" w:eastAsiaTheme="minorEastAsia" w:hAnsi="Cambria Math"/>
                  <w:sz w:val="20"/>
                  <w:szCs w:val="18"/>
                </w:rPr>
                <m:t>Days</m:t>
              </m:r>
            </m:sub>
          </m:sSub>
          <m:r>
            <w:rPr>
              <w:rFonts w:ascii="Cambria Math" w:eastAsiaTheme="minorEastAsia" w:hAnsi="Cambria Math"/>
              <w:sz w:val="20"/>
              <w:szCs w:val="18"/>
            </w:rPr>
            <m:t>+123.8</m:t>
          </m:r>
          <m:r>
            <w:rPr>
              <w:rFonts w:ascii="Cambria Math" w:hAnsi="Cambria Math"/>
              <w:sz w:val="20"/>
              <w:szCs w:val="18"/>
            </w:rPr>
            <m:t xml:space="preserve">      (3)</m:t>
          </m:r>
        </m:oMath>
      </m:oMathPara>
    </w:p>
    <w:p w:rsidR="00364A27" w:rsidRDefault="00364A27" w:rsidP="00364A27">
      <w:pPr>
        <w:pStyle w:val="IETParagraph"/>
        <w:spacing w:line="240" w:lineRule="auto"/>
        <w:ind w:firstLine="0"/>
        <w:rPr>
          <w:sz w:val="20"/>
          <w:szCs w:val="20"/>
        </w:rPr>
      </w:pPr>
    </w:p>
    <w:p w:rsidR="00364A27" w:rsidRPr="00A43300" w:rsidRDefault="00E80A5E" w:rsidP="00364A27">
      <w:pPr>
        <w:pStyle w:val="IETParagraph"/>
        <w:tabs>
          <w:tab w:val="left" w:pos="3969"/>
        </w:tabs>
        <w:spacing w:line="240" w:lineRule="auto"/>
        <w:ind w:firstLine="0"/>
        <w:rPr>
          <w:sz w:val="20"/>
          <w:szCs w:val="18"/>
        </w:rPr>
      </w:pPr>
      <m:oMathPara>
        <m:oMath>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Y</m:t>
              </m:r>
            </m:e>
            <m:sub>
              <m:r>
                <m:rPr>
                  <m:sty m:val="p"/>
                </m:rPr>
                <w:rPr>
                  <w:rFonts w:ascii="Cambria Math" w:eastAsiaTheme="minorEastAsia" w:hAnsi="Cambria Math"/>
                  <w:sz w:val="20"/>
                  <w:szCs w:val="18"/>
                </w:rPr>
                <m:t>Effected</m:t>
              </m:r>
            </m:sub>
          </m:sSub>
          <m:r>
            <w:rPr>
              <w:rFonts w:ascii="Cambria Math" w:eastAsiaTheme="minorEastAsia" w:hAnsi="Cambria Math"/>
              <w:sz w:val="20"/>
              <w:szCs w:val="18"/>
            </w:rPr>
            <m:t>=2272.46*</m:t>
          </m:r>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X</m:t>
              </m:r>
            </m:e>
            <m:sub>
              <m:r>
                <m:rPr>
                  <m:sty m:val="p"/>
                </m:rPr>
                <w:rPr>
                  <w:rFonts w:ascii="Cambria Math" w:eastAsiaTheme="minorEastAsia" w:hAnsi="Cambria Math"/>
                  <w:sz w:val="20"/>
                  <w:szCs w:val="18"/>
                </w:rPr>
                <m:t>Days</m:t>
              </m:r>
            </m:sub>
          </m:sSub>
          <m:r>
            <w:rPr>
              <w:rFonts w:ascii="Cambria Math" w:eastAsiaTheme="minorEastAsia" w:hAnsi="Cambria Math"/>
              <w:sz w:val="20"/>
              <w:szCs w:val="18"/>
            </w:rPr>
            <m:t>+18803.64</m:t>
          </m:r>
          <m:r>
            <w:rPr>
              <w:rFonts w:ascii="Cambria Math" w:hAnsi="Cambria Math"/>
              <w:sz w:val="20"/>
              <w:szCs w:val="18"/>
            </w:rPr>
            <m:t xml:space="preserve">      (4)</m:t>
          </m:r>
        </m:oMath>
      </m:oMathPara>
    </w:p>
    <w:p w:rsidR="00A43300" w:rsidRPr="00C92CEB" w:rsidRDefault="00A43300" w:rsidP="00364A27">
      <w:pPr>
        <w:pStyle w:val="IETParagraph"/>
        <w:tabs>
          <w:tab w:val="left" w:pos="3969"/>
        </w:tabs>
        <w:spacing w:line="240" w:lineRule="auto"/>
        <w:ind w:firstLine="0"/>
        <w:rPr>
          <w:sz w:val="22"/>
          <w:szCs w:val="20"/>
        </w:rPr>
      </w:pPr>
    </w:p>
    <w:p w:rsidR="00364A27" w:rsidRDefault="00AE4C26" w:rsidP="00364A27">
      <w:pPr>
        <w:pStyle w:val="IETParagraph"/>
        <w:spacing w:line="240" w:lineRule="auto"/>
        <w:rPr>
          <w:rFonts w:eastAsiaTheme="minorEastAsia"/>
          <w:sz w:val="20"/>
          <w:szCs w:val="18"/>
        </w:rPr>
      </w:pPr>
      <w:r w:rsidRPr="00C92CEB">
        <w:rPr>
          <w:rFonts w:eastAsiaTheme="minorEastAsia"/>
          <w:sz w:val="20"/>
          <w:szCs w:val="18"/>
        </w:rPr>
        <w:t xml:space="preserve">In (3)-(4), </w:t>
      </w:r>
      <m:oMath>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X</m:t>
            </m:r>
          </m:e>
          <m:sub>
            <m:r>
              <m:rPr>
                <m:sty m:val="p"/>
              </m:rPr>
              <w:rPr>
                <w:rFonts w:ascii="Cambria Math" w:eastAsiaTheme="minorEastAsia" w:hAnsi="Cambria Math"/>
                <w:sz w:val="20"/>
                <w:szCs w:val="18"/>
              </w:rPr>
              <m:t>Days</m:t>
            </m:r>
          </m:sub>
        </m:sSub>
      </m:oMath>
      <w:r w:rsidRPr="00C92CEB">
        <w:rPr>
          <w:rFonts w:eastAsiaTheme="minorEastAsia"/>
          <w:sz w:val="20"/>
          <w:szCs w:val="18"/>
        </w:rPr>
        <w:t xml:space="preserve"> is the independent variable, and</w:t>
      </w:r>
      <m:oMath>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 xml:space="preserve"> Y</m:t>
            </m:r>
          </m:e>
          <m:sub>
            <m:r>
              <m:rPr>
                <m:sty m:val="p"/>
              </m:rPr>
              <w:rPr>
                <w:rFonts w:ascii="Cambria Math" w:eastAsiaTheme="minorEastAsia" w:hAnsi="Cambria Math"/>
                <w:sz w:val="20"/>
                <w:szCs w:val="18"/>
              </w:rPr>
              <m:t>Death</m:t>
            </m:r>
          </m:sub>
        </m:sSub>
      </m:oMath>
      <w:r w:rsidRPr="00C92CEB">
        <w:rPr>
          <w:rFonts w:eastAsiaTheme="minorEastAsia"/>
          <w:sz w:val="20"/>
          <w:szCs w:val="18"/>
        </w:rPr>
        <w:t xml:space="preserve">, </w:t>
      </w:r>
      <m:oMath>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Y</m:t>
            </m:r>
          </m:e>
          <m:sub>
            <m:r>
              <m:rPr>
                <m:sty m:val="p"/>
              </m:rPr>
              <w:rPr>
                <w:rFonts w:ascii="Cambria Math" w:eastAsiaTheme="minorEastAsia" w:hAnsi="Cambria Math"/>
                <w:sz w:val="20"/>
                <w:szCs w:val="18"/>
              </w:rPr>
              <m:t>Effected</m:t>
            </m:r>
          </m:sub>
        </m:sSub>
      </m:oMath>
      <w:r w:rsidRPr="00C92CEB">
        <w:rPr>
          <w:rFonts w:eastAsiaTheme="minorEastAsia"/>
          <w:sz w:val="20"/>
          <w:szCs w:val="18"/>
        </w:rPr>
        <w:t>are</w:t>
      </w:r>
      <w:r w:rsidR="00040740">
        <w:rPr>
          <w:rFonts w:eastAsiaTheme="minorEastAsia"/>
          <w:sz w:val="20"/>
          <w:szCs w:val="18"/>
        </w:rPr>
        <w:t>estimated no. of deaths and effected respectively</w:t>
      </w:r>
      <w:r w:rsidRPr="00C92CEB">
        <w:rPr>
          <w:rFonts w:eastAsiaTheme="minorEastAsia"/>
          <w:sz w:val="20"/>
          <w:szCs w:val="18"/>
        </w:rPr>
        <w:t>.</w:t>
      </w:r>
    </w:p>
    <w:p w:rsidR="00A75F35" w:rsidRDefault="00A75F35" w:rsidP="00364A27">
      <w:pPr>
        <w:pStyle w:val="IETParagraph"/>
        <w:spacing w:line="240" w:lineRule="auto"/>
        <w:rPr>
          <w:rFonts w:eastAsiaTheme="minorEastAsia"/>
          <w:sz w:val="20"/>
          <w:szCs w:val="18"/>
        </w:rPr>
      </w:pPr>
    </w:p>
    <w:p w:rsidR="00C56BBF" w:rsidRPr="00387F4D" w:rsidRDefault="00AE4C26" w:rsidP="00144046">
      <w:pPr>
        <w:pStyle w:val="ListParagraph"/>
        <w:numPr>
          <w:ilvl w:val="0"/>
          <w:numId w:val="6"/>
        </w:numPr>
        <w:ind w:left="357" w:hanging="357"/>
        <w:jc w:val="both"/>
        <w:rPr>
          <w:sz w:val="20"/>
          <w:szCs w:val="18"/>
        </w:rPr>
      </w:pPr>
      <w:r w:rsidRPr="00C56BBF">
        <w:rPr>
          <w:b/>
          <w:sz w:val="20"/>
          <w:szCs w:val="18"/>
        </w:rPr>
        <w:t>Complex Machine Classifiers</w:t>
      </w:r>
    </w:p>
    <w:p w:rsidR="00E45B5F" w:rsidRDefault="00AE4C26" w:rsidP="00A223D7">
      <w:pPr>
        <w:pStyle w:val="IETParagraph"/>
        <w:spacing w:line="240" w:lineRule="auto"/>
        <w:rPr>
          <w:sz w:val="20"/>
          <w:szCs w:val="18"/>
        </w:rPr>
      </w:pPr>
      <w:r w:rsidRPr="00C56BBF">
        <w:rPr>
          <w:sz w:val="20"/>
          <w:szCs w:val="18"/>
        </w:rPr>
        <w:t>We employed two machine classifiers [</w:t>
      </w:r>
      <w:r w:rsidR="0096194E" w:rsidRPr="00C56BBF">
        <w:rPr>
          <w:sz w:val="20"/>
          <w:szCs w:val="18"/>
        </w:rPr>
        <w:t>9</w:t>
      </w:r>
      <w:r w:rsidR="0096194E">
        <w:rPr>
          <w:sz w:val="20"/>
          <w:szCs w:val="18"/>
        </w:rPr>
        <w:t>-10</w:t>
      </w:r>
      <w:r w:rsidRPr="00C56BBF">
        <w:rPr>
          <w:sz w:val="20"/>
          <w:szCs w:val="18"/>
        </w:rPr>
        <w:t>]. [</w:t>
      </w:r>
      <w:r w:rsidR="00E254C5">
        <w:rPr>
          <w:sz w:val="20"/>
          <w:szCs w:val="18"/>
        </w:rPr>
        <w:t>9</w:t>
      </w:r>
      <w:r w:rsidRPr="00C56BBF">
        <w:rPr>
          <w:sz w:val="20"/>
          <w:szCs w:val="18"/>
        </w:rPr>
        <w:t>] is a learning algorithm, where the entire dataset is partitioned into more than one subtree during training and produces a class la</w:t>
      </w:r>
      <w:r w:rsidR="00E47E36">
        <w:rPr>
          <w:sz w:val="20"/>
          <w:szCs w:val="18"/>
        </w:rPr>
        <w:t>bel for each subtree, whereas [10</w:t>
      </w:r>
      <w:r w:rsidRPr="00C56BBF">
        <w:rPr>
          <w:sz w:val="20"/>
          <w:szCs w:val="18"/>
        </w:rPr>
        <w:t>] mimics the functionality of the human brain through weighted interconnections between artificial neurons. A three-layer MLP consists of the input layer, hidden layer, and output layer, where link weights are adjusted during training, and an appropriate activation function produces class labels, i.e., output layer for a given set of inputs. The regression augmented dataset fed into [9</w:t>
      </w:r>
      <w:r w:rsidR="00467EB3">
        <w:rPr>
          <w:sz w:val="20"/>
          <w:szCs w:val="18"/>
        </w:rPr>
        <w:t>-10</w:t>
      </w:r>
      <w:r w:rsidRPr="00C56BBF">
        <w:rPr>
          <w:sz w:val="20"/>
          <w:szCs w:val="18"/>
        </w:rPr>
        <w:t>], and the corresponding RMSE values obtained, shown in Fig. 2.</w:t>
      </w:r>
    </w:p>
    <w:p w:rsidR="00A75F35" w:rsidRDefault="00A75F35" w:rsidP="00E45B5F">
      <w:pPr>
        <w:jc w:val="both"/>
        <w:rPr>
          <w:sz w:val="20"/>
          <w:szCs w:val="20"/>
        </w:rPr>
        <w:sectPr w:rsidR="00A75F35" w:rsidSect="000F534A">
          <w:type w:val="continuous"/>
          <w:pgSz w:w="11906" w:h="16838"/>
          <w:pgMar w:top="1134" w:right="851" w:bottom="1134" w:left="851" w:header="709" w:footer="709" w:gutter="0"/>
          <w:cols w:num="2" w:space="454"/>
          <w:docGrid w:linePitch="360"/>
        </w:sectPr>
      </w:pPr>
    </w:p>
    <w:p w:rsidR="00E45B5F" w:rsidRDefault="00E45B5F" w:rsidP="00E45B5F">
      <w:pPr>
        <w:jc w:val="both"/>
        <w:rPr>
          <w:sz w:val="20"/>
          <w:szCs w:val="20"/>
        </w:rPr>
      </w:pPr>
    </w:p>
    <w:p w:rsidR="00A75F35" w:rsidRDefault="00A75F35" w:rsidP="00A75F35">
      <w:pPr>
        <w:tabs>
          <w:tab w:val="left" w:pos="5510"/>
        </w:tabs>
        <w:jc w:val="center"/>
        <w:rPr>
          <w:sz w:val="20"/>
          <w:szCs w:val="20"/>
        </w:rPr>
      </w:pPr>
      <w:r>
        <w:rPr>
          <w:noProof/>
          <w:sz w:val="20"/>
          <w:szCs w:val="20"/>
          <w:lang w:val="en-US" w:eastAsia="en-US"/>
        </w:rPr>
        <w:drawing>
          <wp:inline distT="0" distB="0" distL="0" distR="0">
            <wp:extent cx="4984273" cy="3585600"/>
            <wp:effectExtent l="0" t="0" r="6985" b="0"/>
            <wp:docPr id="8" name="Picture 8"/>
            <wp:cNvGraphicFramePr/>
            <a:graphic xmlns:a="http://schemas.openxmlformats.org/drawingml/2006/main">
              <a:graphicData uri="http://schemas.openxmlformats.org/drawingml/2006/picture">
                <pic:pic xmlns:pic="http://schemas.openxmlformats.org/drawingml/2006/picture">
                  <pic:nvPicPr>
                    <pic:cNvPr id="498982485" name="Fig. 2.jpg"/>
                    <pic:cNvPicPr/>
                  </pic:nvPicPr>
                  <pic:blipFill>
                    <a:blip r:embed="rId12"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harpenSoften amount="2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84273" cy="3585600"/>
                    </a:xfrm>
                    <a:prstGeom prst="rect">
                      <a:avLst/>
                    </a:prstGeom>
                  </pic:spPr>
                </pic:pic>
              </a:graphicData>
            </a:graphic>
          </wp:inline>
        </w:drawing>
      </w:r>
    </w:p>
    <w:p w:rsidR="00A75F35" w:rsidRDefault="00A75F35" w:rsidP="00A75F35">
      <w:pPr>
        <w:tabs>
          <w:tab w:val="left" w:pos="5510"/>
        </w:tabs>
        <w:jc w:val="center"/>
        <w:rPr>
          <w:i/>
          <w:sz w:val="20"/>
          <w:szCs w:val="20"/>
        </w:rPr>
      </w:pPr>
      <w:r w:rsidRPr="00981594">
        <w:rPr>
          <w:b/>
          <w:i/>
          <w:sz w:val="20"/>
          <w:szCs w:val="20"/>
        </w:rPr>
        <w:t>Fig. 2</w:t>
      </w:r>
      <w:r>
        <w:rPr>
          <w:i/>
          <w:sz w:val="20"/>
          <w:szCs w:val="20"/>
        </w:rPr>
        <w:t>.</w:t>
      </w:r>
      <w:r w:rsidRPr="00981594">
        <w:rPr>
          <w:i/>
          <w:sz w:val="20"/>
          <w:szCs w:val="20"/>
        </w:rPr>
        <w:t xml:space="preserve"> Calculating RMSE of RFM and MLP from an augmented dataset </w:t>
      </w:r>
    </w:p>
    <w:p w:rsidR="00A75F35" w:rsidRDefault="00A75F35" w:rsidP="00A75F35">
      <w:pPr>
        <w:tabs>
          <w:tab w:val="left" w:pos="5510"/>
        </w:tabs>
        <w:jc w:val="center"/>
        <w:rPr>
          <w:i/>
          <w:sz w:val="20"/>
          <w:szCs w:val="20"/>
        </w:rPr>
      </w:pPr>
    </w:p>
    <w:p w:rsidR="00A75F35" w:rsidRDefault="00A75F35" w:rsidP="00E45B5F">
      <w:pPr>
        <w:jc w:val="both"/>
        <w:rPr>
          <w:sz w:val="20"/>
          <w:szCs w:val="20"/>
        </w:rPr>
        <w:sectPr w:rsidR="00A75F35" w:rsidSect="00A75F35">
          <w:type w:val="continuous"/>
          <w:pgSz w:w="11906" w:h="16838"/>
          <w:pgMar w:top="1134" w:right="851" w:bottom="1134" w:left="851" w:header="709" w:footer="709" w:gutter="0"/>
          <w:cols w:space="454"/>
          <w:docGrid w:linePitch="360"/>
        </w:sectPr>
      </w:pPr>
    </w:p>
    <w:p w:rsidR="00A75F35" w:rsidRPr="00E45B5F" w:rsidRDefault="00A75F35" w:rsidP="00E45B5F">
      <w:pPr>
        <w:jc w:val="both"/>
        <w:rPr>
          <w:sz w:val="20"/>
          <w:szCs w:val="20"/>
        </w:rPr>
      </w:pPr>
    </w:p>
    <w:p w:rsidR="00E45B5F" w:rsidRPr="00E45B5F" w:rsidRDefault="00AE4C26" w:rsidP="00144046">
      <w:pPr>
        <w:pStyle w:val="ListParagraph"/>
        <w:numPr>
          <w:ilvl w:val="0"/>
          <w:numId w:val="6"/>
        </w:numPr>
        <w:tabs>
          <w:tab w:val="left" w:pos="5510"/>
        </w:tabs>
        <w:jc w:val="both"/>
        <w:rPr>
          <w:rFonts w:eastAsiaTheme="minorEastAsia"/>
          <w:b/>
          <w:sz w:val="20"/>
          <w:szCs w:val="20"/>
        </w:rPr>
      </w:pPr>
      <w:r w:rsidRPr="00E45B5F">
        <w:rPr>
          <w:rFonts w:eastAsiaTheme="minorEastAsia"/>
          <w:b/>
          <w:sz w:val="20"/>
          <w:szCs w:val="20"/>
        </w:rPr>
        <w:t>Fine Tuning of Parameters</w:t>
      </w:r>
    </w:p>
    <w:p w:rsidR="000059CC" w:rsidRPr="00116002" w:rsidRDefault="00AE4C26" w:rsidP="00116002">
      <w:pPr>
        <w:tabs>
          <w:tab w:val="left" w:pos="5510"/>
        </w:tabs>
        <w:ind w:firstLine="567"/>
        <w:jc w:val="both"/>
        <w:rPr>
          <w:sz w:val="20"/>
          <w:szCs w:val="20"/>
        </w:rPr>
      </w:pPr>
      <w:r w:rsidRPr="00E45B5F">
        <w:rPr>
          <w:sz w:val="20"/>
          <w:szCs w:val="20"/>
        </w:rPr>
        <w:t xml:space="preserve">We have used the </w:t>
      </w:r>
      <w:r w:rsidRPr="00E45B5F">
        <w:rPr>
          <w:b/>
          <w:sz w:val="20"/>
          <w:szCs w:val="20"/>
        </w:rPr>
        <w:t>WEKA</w:t>
      </w:r>
      <w:r w:rsidRPr="00E45B5F">
        <w:rPr>
          <w:sz w:val="20"/>
          <w:szCs w:val="20"/>
        </w:rPr>
        <w:t xml:space="preserve"> package [1</w:t>
      </w:r>
      <w:r w:rsidR="00467EB3">
        <w:rPr>
          <w:sz w:val="20"/>
          <w:szCs w:val="20"/>
        </w:rPr>
        <w:t>2</w:t>
      </w:r>
      <w:r w:rsidRPr="00E45B5F">
        <w:rPr>
          <w:sz w:val="20"/>
          <w:szCs w:val="20"/>
        </w:rPr>
        <w:t>] to implement [</w:t>
      </w:r>
      <w:r w:rsidR="00FC6A29" w:rsidRPr="00C56BBF">
        <w:rPr>
          <w:sz w:val="20"/>
          <w:szCs w:val="18"/>
        </w:rPr>
        <w:t>9</w:t>
      </w:r>
      <w:r w:rsidR="00FC6A29">
        <w:rPr>
          <w:sz w:val="20"/>
          <w:szCs w:val="18"/>
        </w:rPr>
        <w:t>-10</w:t>
      </w:r>
      <w:r w:rsidRPr="00E45B5F">
        <w:rPr>
          <w:sz w:val="20"/>
          <w:szCs w:val="20"/>
        </w:rPr>
        <w:t xml:space="preserve">]. </w:t>
      </w:r>
      <w:r w:rsidR="00116002" w:rsidRPr="00DE2599">
        <w:rPr>
          <w:sz w:val="20"/>
          <w:szCs w:val="20"/>
        </w:rPr>
        <w:t>The no. of trees, i.e., α is a parameter of the RFM method referred to as no. of iterations in [12]. Similarly, the learning rate,i.e., Ƞ, is the MLP parameter. The default values of these parameters in [12], listed in Table 1.</w:t>
      </w:r>
      <w:r w:rsidRPr="00E45B5F">
        <w:rPr>
          <w:sz w:val="20"/>
          <w:szCs w:val="20"/>
        </w:rPr>
        <w:t>The default parameter of [</w:t>
      </w:r>
      <w:r w:rsidR="00FC6A29" w:rsidRPr="00C56BBF">
        <w:rPr>
          <w:sz w:val="20"/>
          <w:szCs w:val="18"/>
        </w:rPr>
        <w:t>9</w:t>
      </w:r>
      <w:r w:rsidR="00FC6A29">
        <w:rPr>
          <w:sz w:val="20"/>
          <w:szCs w:val="18"/>
        </w:rPr>
        <w:t>-10</w:t>
      </w:r>
      <w:r w:rsidRPr="00E45B5F">
        <w:rPr>
          <w:sz w:val="20"/>
          <w:szCs w:val="20"/>
        </w:rPr>
        <w:t>] does not always produce the best result. Therefore we have fine-tuned the parameters of [</w:t>
      </w:r>
      <w:r w:rsidR="00C6789F" w:rsidRPr="00C56BBF">
        <w:rPr>
          <w:sz w:val="20"/>
          <w:szCs w:val="18"/>
        </w:rPr>
        <w:t>9</w:t>
      </w:r>
      <w:r w:rsidR="00C6789F">
        <w:rPr>
          <w:sz w:val="20"/>
          <w:szCs w:val="18"/>
        </w:rPr>
        <w:t>-10</w:t>
      </w:r>
      <w:r w:rsidRPr="00E45B5F">
        <w:rPr>
          <w:sz w:val="20"/>
          <w:szCs w:val="20"/>
        </w:rPr>
        <w:t xml:space="preserve">] to obtain their highest performances, presented in </w:t>
      </w:r>
      <w:r w:rsidR="00B7620B">
        <w:rPr>
          <w:sz w:val="20"/>
          <w:szCs w:val="20"/>
        </w:rPr>
        <w:t>section 3</w:t>
      </w:r>
      <w:r w:rsidRPr="00E45B5F">
        <w:rPr>
          <w:sz w:val="20"/>
          <w:szCs w:val="20"/>
        </w:rPr>
        <w:t>.</w:t>
      </w:r>
    </w:p>
    <w:p w:rsidR="00A75F35" w:rsidRDefault="00A75F35" w:rsidP="00D90745">
      <w:pPr>
        <w:pStyle w:val="ListParagraph"/>
        <w:spacing w:before="40" w:after="100"/>
        <w:ind w:left="0"/>
        <w:rPr>
          <w:rFonts w:eastAsiaTheme="minorEastAsia"/>
          <w:b/>
          <w:sz w:val="18"/>
          <w:szCs w:val="18"/>
        </w:rPr>
      </w:pPr>
    </w:p>
    <w:p w:rsidR="00A75F35" w:rsidRPr="00440C94" w:rsidRDefault="00A75F35" w:rsidP="00D90745">
      <w:pPr>
        <w:pStyle w:val="ListParagraph"/>
        <w:spacing w:before="40" w:after="100"/>
        <w:ind w:left="0"/>
        <w:rPr>
          <w:rFonts w:eastAsiaTheme="minorEastAsia"/>
          <w:b/>
          <w:sz w:val="18"/>
          <w:szCs w:val="18"/>
        </w:rPr>
      </w:pPr>
    </w:p>
    <w:p w:rsidR="00D90745" w:rsidRPr="00532A4C" w:rsidRDefault="00AE4C26" w:rsidP="00144046">
      <w:pPr>
        <w:pStyle w:val="ListParagraph"/>
        <w:numPr>
          <w:ilvl w:val="0"/>
          <w:numId w:val="6"/>
        </w:numPr>
        <w:tabs>
          <w:tab w:val="left" w:pos="5510"/>
        </w:tabs>
        <w:jc w:val="both"/>
        <w:rPr>
          <w:rFonts w:eastAsiaTheme="minorEastAsia"/>
          <w:b/>
          <w:sz w:val="20"/>
          <w:szCs w:val="20"/>
        </w:rPr>
      </w:pPr>
      <w:r w:rsidRPr="00532A4C">
        <w:rPr>
          <w:rFonts w:eastAsiaTheme="minorEastAsia"/>
          <w:b/>
          <w:sz w:val="20"/>
          <w:szCs w:val="20"/>
        </w:rPr>
        <w:t>Statistical Prediction Models</w:t>
      </w:r>
    </w:p>
    <w:p w:rsidR="00B7620B" w:rsidRDefault="00AE4C26" w:rsidP="00A223D7">
      <w:pPr>
        <w:tabs>
          <w:tab w:val="left" w:pos="5510"/>
        </w:tabs>
        <w:ind w:firstLine="567"/>
        <w:jc w:val="both"/>
        <w:rPr>
          <w:color w:val="0E101A"/>
          <w:sz w:val="20"/>
          <w:szCs w:val="20"/>
        </w:rPr>
      </w:pPr>
      <w:r w:rsidRPr="00532A4C">
        <w:rPr>
          <w:sz w:val="20"/>
          <w:szCs w:val="20"/>
        </w:rPr>
        <w:t>We employed the forecast package of </w:t>
      </w:r>
      <w:r w:rsidRPr="00532A4C">
        <w:rPr>
          <w:rStyle w:val="Strong"/>
          <w:color w:val="0E101A"/>
          <w:sz w:val="20"/>
          <w:szCs w:val="20"/>
        </w:rPr>
        <w:t>R</w:t>
      </w:r>
      <w:r w:rsidRPr="00532A4C">
        <w:rPr>
          <w:sz w:val="20"/>
          <w:szCs w:val="20"/>
        </w:rPr>
        <w:t> for ARIMA and ETS model development [1</w:t>
      </w:r>
      <w:r w:rsidR="00745C73">
        <w:rPr>
          <w:sz w:val="20"/>
          <w:szCs w:val="20"/>
        </w:rPr>
        <w:t>3</w:t>
      </w:r>
      <w:r w:rsidRPr="00532A4C">
        <w:rPr>
          <w:sz w:val="20"/>
          <w:szCs w:val="20"/>
        </w:rPr>
        <w:t>], [1</w:t>
      </w:r>
      <w:r w:rsidR="00745C73">
        <w:rPr>
          <w:sz w:val="20"/>
          <w:szCs w:val="20"/>
        </w:rPr>
        <w:t>4</w:t>
      </w:r>
      <w:r w:rsidRPr="00532A4C">
        <w:rPr>
          <w:sz w:val="20"/>
          <w:szCs w:val="20"/>
        </w:rPr>
        <w:t>], and [1</w:t>
      </w:r>
      <w:r w:rsidR="00745C73">
        <w:rPr>
          <w:sz w:val="20"/>
          <w:szCs w:val="20"/>
        </w:rPr>
        <w:t>5</w:t>
      </w:r>
      <w:r w:rsidRPr="00532A4C">
        <w:rPr>
          <w:sz w:val="20"/>
          <w:szCs w:val="20"/>
        </w:rPr>
        <w:t>].</w:t>
      </w:r>
      <w:r w:rsidRPr="00532A4C">
        <w:rPr>
          <w:rStyle w:val="Strong"/>
          <w:color w:val="0E101A"/>
          <w:sz w:val="20"/>
          <w:szCs w:val="20"/>
        </w:rPr>
        <w:t>ARIMA</w:t>
      </w:r>
      <w:r w:rsidRPr="00532A4C">
        <w:rPr>
          <w:sz w:val="20"/>
          <w:szCs w:val="20"/>
        </w:rPr>
        <w:t>[1</w:t>
      </w:r>
      <w:r w:rsidR="00745C73">
        <w:rPr>
          <w:sz w:val="20"/>
          <w:szCs w:val="20"/>
        </w:rPr>
        <w:t>6</w:t>
      </w:r>
      <w:r w:rsidRPr="00532A4C">
        <w:rPr>
          <w:sz w:val="20"/>
          <w:szCs w:val="20"/>
        </w:rPr>
        <w:t>] is a widely accepted scheme for univariate time series forecasting. The standard notation of ARIMA is ARIMA (</w:t>
      </w:r>
      <w:r w:rsidRPr="00532A4C">
        <w:rPr>
          <w:rStyle w:val="Emphasis"/>
          <w:color w:val="0E101A"/>
          <w:sz w:val="20"/>
          <w:szCs w:val="20"/>
        </w:rPr>
        <w:t>p, d, q</w:t>
      </w:r>
      <w:r w:rsidRPr="00532A4C">
        <w:rPr>
          <w:sz w:val="20"/>
          <w:szCs w:val="20"/>
        </w:rPr>
        <w:t>), where </w:t>
      </w:r>
      <w:r w:rsidRPr="00532A4C">
        <w:rPr>
          <w:rStyle w:val="Emphasis"/>
          <w:color w:val="0E101A"/>
          <w:sz w:val="20"/>
          <w:szCs w:val="20"/>
        </w:rPr>
        <w:t>p</w:t>
      </w:r>
      <w:r w:rsidR="00B25389">
        <w:rPr>
          <w:sz w:val="20"/>
          <w:szCs w:val="20"/>
        </w:rPr>
        <w:t xml:space="preserve"> is the </w:t>
      </w:r>
      <w:r w:rsidRPr="00532A4C">
        <w:rPr>
          <w:sz w:val="20"/>
          <w:szCs w:val="20"/>
        </w:rPr>
        <w:t>lag order, </w:t>
      </w:r>
      <w:r w:rsidRPr="00532A4C">
        <w:rPr>
          <w:rStyle w:val="Emphasis"/>
          <w:color w:val="0E101A"/>
          <w:sz w:val="20"/>
          <w:szCs w:val="20"/>
        </w:rPr>
        <w:t>d</w:t>
      </w:r>
      <w:r w:rsidRPr="00532A4C">
        <w:rPr>
          <w:sz w:val="20"/>
          <w:szCs w:val="20"/>
        </w:rPr>
        <w:t> </w:t>
      </w:r>
      <w:r w:rsidR="00B25389">
        <w:rPr>
          <w:sz w:val="20"/>
          <w:szCs w:val="20"/>
        </w:rPr>
        <w:t xml:space="preserve">is </w:t>
      </w:r>
      <w:r w:rsidRPr="00532A4C">
        <w:rPr>
          <w:sz w:val="20"/>
          <w:szCs w:val="20"/>
        </w:rPr>
        <w:t>for the degree of differencing, and </w:t>
      </w:r>
      <w:r w:rsidRPr="00532A4C">
        <w:rPr>
          <w:rStyle w:val="Emphasis"/>
          <w:color w:val="0E101A"/>
          <w:sz w:val="20"/>
          <w:szCs w:val="20"/>
        </w:rPr>
        <w:t>q</w:t>
      </w:r>
      <w:r w:rsidRPr="00532A4C">
        <w:rPr>
          <w:sz w:val="20"/>
          <w:szCs w:val="20"/>
        </w:rPr>
        <w:t> </w:t>
      </w:r>
      <w:r w:rsidR="00B25389">
        <w:rPr>
          <w:sz w:val="20"/>
          <w:szCs w:val="20"/>
        </w:rPr>
        <w:t xml:space="preserve">is </w:t>
      </w:r>
      <w:r w:rsidRPr="00532A4C">
        <w:rPr>
          <w:sz w:val="20"/>
          <w:szCs w:val="20"/>
        </w:rPr>
        <w:t>the order of moving average [1</w:t>
      </w:r>
      <w:r w:rsidR="00217938">
        <w:rPr>
          <w:sz w:val="20"/>
          <w:szCs w:val="20"/>
        </w:rPr>
        <w:t>7</w:t>
      </w:r>
      <w:r w:rsidRPr="00532A4C">
        <w:rPr>
          <w:sz w:val="20"/>
          <w:szCs w:val="20"/>
        </w:rPr>
        <w:t xml:space="preserve">]. </w:t>
      </w:r>
      <w:r w:rsidR="00EE1821" w:rsidRPr="00DD01F8">
        <w:rPr>
          <w:color w:val="0E101A"/>
          <w:sz w:val="20"/>
          <w:szCs w:val="20"/>
        </w:rPr>
        <w:t>The ARIMA (</w:t>
      </w:r>
      <w:r w:rsidR="00EE1821" w:rsidRPr="00DD01F8">
        <w:rPr>
          <w:rStyle w:val="Emphasis"/>
          <w:color w:val="0E101A"/>
          <w:sz w:val="20"/>
          <w:szCs w:val="20"/>
        </w:rPr>
        <w:t>p, d, q</w:t>
      </w:r>
      <w:r w:rsidR="00EE1821" w:rsidRPr="00DD01F8">
        <w:rPr>
          <w:color w:val="0E101A"/>
          <w:sz w:val="20"/>
          <w:szCs w:val="20"/>
        </w:rPr>
        <w:t>) model has many combinations. Therefore, identification of the best ARIMA (</w:t>
      </w:r>
      <w:r w:rsidR="00EE1821" w:rsidRPr="00DD01F8">
        <w:rPr>
          <w:rStyle w:val="Emphasis"/>
          <w:color w:val="0E101A"/>
          <w:sz w:val="20"/>
          <w:szCs w:val="20"/>
        </w:rPr>
        <w:t>p, d, q</w:t>
      </w:r>
      <w:r w:rsidR="00EE1821" w:rsidRPr="00DD01F8">
        <w:rPr>
          <w:color w:val="0E101A"/>
          <w:sz w:val="20"/>
          <w:szCs w:val="20"/>
        </w:rPr>
        <w:t xml:space="preserve">) model for our dataset is a challenging and labor-intensive task. </w:t>
      </w:r>
      <w:r w:rsidR="00EE1821">
        <w:rPr>
          <w:color w:val="0E101A"/>
          <w:sz w:val="20"/>
          <w:szCs w:val="20"/>
        </w:rPr>
        <w:t>Astepwise</w:t>
      </w:r>
      <w:r w:rsidR="00EE1821" w:rsidRPr="00DD01F8">
        <w:rPr>
          <w:color w:val="0E101A"/>
          <w:sz w:val="20"/>
          <w:szCs w:val="20"/>
        </w:rPr>
        <w:t xml:space="preserve"> approach of ARIMA </w:t>
      </w:r>
      <w:r w:rsidR="00EA5008" w:rsidRPr="00DD01F8">
        <w:rPr>
          <w:color w:val="0E101A"/>
          <w:sz w:val="20"/>
          <w:szCs w:val="20"/>
        </w:rPr>
        <w:t>modelling</w:t>
      </w:r>
      <w:r w:rsidR="00EE1821" w:rsidRPr="00DD01F8">
        <w:rPr>
          <w:color w:val="0E101A"/>
          <w:sz w:val="20"/>
          <w:szCs w:val="20"/>
        </w:rPr>
        <w:t xml:space="preserve"> by referring [</w:t>
      </w:r>
      <w:r w:rsidR="006004C6">
        <w:rPr>
          <w:color w:val="0E101A"/>
          <w:sz w:val="20"/>
          <w:szCs w:val="20"/>
        </w:rPr>
        <w:t>18</w:t>
      </w:r>
      <w:r w:rsidR="00EE1821" w:rsidRPr="00DD01F8">
        <w:rPr>
          <w:color w:val="0E101A"/>
          <w:sz w:val="20"/>
          <w:szCs w:val="20"/>
        </w:rPr>
        <w:t>] as follows: </w:t>
      </w:r>
    </w:p>
    <w:p w:rsidR="00EE1821" w:rsidRDefault="00EE1821" w:rsidP="00EE1821">
      <w:pPr>
        <w:tabs>
          <w:tab w:val="left" w:pos="5510"/>
        </w:tabs>
        <w:jc w:val="both"/>
        <w:rPr>
          <w:sz w:val="20"/>
          <w:szCs w:val="20"/>
        </w:rPr>
      </w:pPr>
    </w:p>
    <w:p w:rsidR="00EE1821" w:rsidRPr="00DD01F8" w:rsidRDefault="00AE4C26" w:rsidP="00144046">
      <w:pPr>
        <w:pStyle w:val="NormalWeb"/>
        <w:numPr>
          <w:ilvl w:val="0"/>
          <w:numId w:val="10"/>
        </w:numPr>
        <w:spacing w:before="0" w:beforeAutospacing="0" w:after="0" w:afterAutospacing="0"/>
        <w:ind w:left="709" w:hanging="709"/>
        <w:jc w:val="both"/>
        <w:rPr>
          <w:color w:val="0E101A"/>
          <w:sz w:val="20"/>
          <w:szCs w:val="20"/>
        </w:rPr>
      </w:pPr>
      <w:r w:rsidRPr="00DD01F8">
        <w:rPr>
          <w:color w:val="0E101A"/>
          <w:sz w:val="20"/>
          <w:szCs w:val="20"/>
        </w:rPr>
        <w:t>Make the data stationary by differencing</w:t>
      </w:r>
      <w:r>
        <w:rPr>
          <w:color w:val="0E101A"/>
          <w:sz w:val="20"/>
          <w:szCs w:val="20"/>
        </w:rPr>
        <w:t>.</w:t>
      </w:r>
    </w:p>
    <w:p w:rsidR="00EE1821" w:rsidRPr="00DD01F8" w:rsidRDefault="00AE4C26" w:rsidP="00144046">
      <w:pPr>
        <w:pStyle w:val="NormalWeb"/>
        <w:numPr>
          <w:ilvl w:val="0"/>
          <w:numId w:val="10"/>
        </w:numPr>
        <w:spacing w:before="0" w:beforeAutospacing="0" w:after="0" w:afterAutospacing="0"/>
        <w:ind w:left="709" w:hanging="709"/>
        <w:jc w:val="both"/>
        <w:rPr>
          <w:color w:val="0E101A"/>
          <w:sz w:val="20"/>
          <w:szCs w:val="20"/>
        </w:rPr>
      </w:pPr>
      <w:r w:rsidRPr="00DD01F8">
        <w:rPr>
          <w:color w:val="0E101A"/>
          <w:sz w:val="20"/>
          <w:szCs w:val="20"/>
        </w:rPr>
        <w:t>Identification of the possible candidate models by carefully observing the Auto Correlation function (</w:t>
      </w:r>
      <w:r w:rsidRPr="00DD01F8">
        <w:rPr>
          <w:b/>
          <w:color w:val="0E101A"/>
          <w:sz w:val="20"/>
          <w:szCs w:val="20"/>
        </w:rPr>
        <w:t>ACF</w:t>
      </w:r>
      <w:r w:rsidRPr="00DD01F8">
        <w:rPr>
          <w:color w:val="0E101A"/>
          <w:sz w:val="20"/>
          <w:szCs w:val="20"/>
        </w:rPr>
        <w:t>) and Partial Autocorrelation Function (</w:t>
      </w:r>
      <w:r w:rsidRPr="00DD01F8">
        <w:rPr>
          <w:b/>
          <w:color w:val="0E101A"/>
          <w:sz w:val="20"/>
          <w:szCs w:val="20"/>
        </w:rPr>
        <w:t>PACF</w:t>
      </w:r>
      <w:r w:rsidRPr="00DD01F8">
        <w:rPr>
          <w:color w:val="0E101A"/>
          <w:sz w:val="20"/>
          <w:szCs w:val="20"/>
        </w:rPr>
        <w:t>) plots of the data obtained in Step1, i.e., differenced data</w:t>
      </w:r>
      <w:r>
        <w:rPr>
          <w:color w:val="0E101A"/>
          <w:sz w:val="20"/>
          <w:szCs w:val="20"/>
        </w:rPr>
        <w:t>.</w:t>
      </w:r>
    </w:p>
    <w:p w:rsidR="00EE1821" w:rsidRPr="00DD01F8" w:rsidRDefault="00AE4C26" w:rsidP="00144046">
      <w:pPr>
        <w:pStyle w:val="NormalWeb"/>
        <w:numPr>
          <w:ilvl w:val="0"/>
          <w:numId w:val="10"/>
        </w:numPr>
        <w:spacing w:before="0" w:beforeAutospacing="0" w:after="0" w:afterAutospacing="0"/>
        <w:ind w:left="709" w:hanging="709"/>
        <w:jc w:val="both"/>
        <w:rPr>
          <w:color w:val="0E101A"/>
          <w:sz w:val="20"/>
          <w:szCs w:val="20"/>
        </w:rPr>
      </w:pPr>
      <w:r w:rsidRPr="00DD01F8">
        <w:rPr>
          <w:color w:val="0E101A"/>
          <w:sz w:val="20"/>
          <w:szCs w:val="20"/>
        </w:rPr>
        <w:t>Searching for a superior model by using the corrected Akaike Information Criterion (</w:t>
      </w:r>
      <w:r w:rsidRPr="00DD01F8">
        <w:rPr>
          <w:b/>
          <w:color w:val="0E101A"/>
          <w:sz w:val="20"/>
          <w:szCs w:val="20"/>
        </w:rPr>
        <w:t>AICc</w:t>
      </w:r>
      <w:r w:rsidRPr="00DD01F8">
        <w:rPr>
          <w:color w:val="0E101A"/>
          <w:sz w:val="20"/>
          <w:szCs w:val="20"/>
        </w:rPr>
        <w:t>)</w:t>
      </w:r>
      <w:r>
        <w:rPr>
          <w:color w:val="0E101A"/>
          <w:sz w:val="20"/>
          <w:szCs w:val="20"/>
        </w:rPr>
        <w:t>.</w:t>
      </w:r>
    </w:p>
    <w:p w:rsidR="00EE1821" w:rsidRDefault="00AE4C26" w:rsidP="00144046">
      <w:pPr>
        <w:pStyle w:val="NormalWeb"/>
        <w:numPr>
          <w:ilvl w:val="0"/>
          <w:numId w:val="10"/>
        </w:numPr>
        <w:spacing w:before="0" w:beforeAutospacing="0" w:after="0" w:afterAutospacing="0"/>
        <w:ind w:left="709" w:hanging="709"/>
        <w:jc w:val="both"/>
        <w:rPr>
          <w:color w:val="0E101A"/>
          <w:sz w:val="20"/>
          <w:szCs w:val="20"/>
        </w:rPr>
      </w:pPr>
      <w:r w:rsidRPr="00DD01F8">
        <w:rPr>
          <w:color w:val="0E101A"/>
          <w:sz w:val="20"/>
          <w:szCs w:val="20"/>
        </w:rPr>
        <w:t>Performing the residual diagnostics to test the excellent fit. If a good fit is obtained, then perform forecast else go to Step2</w:t>
      </w:r>
      <w:r>
        <w:rPr>
          <w:color w:val="0E101A"/>
          <w:sz w:val="20"/>
          <w:szCs w:val="20"/>
        </w:rPr>
        <w:t>.</w:t>
      </w:r>
    </w:p>
    <w:p w:rsidR="009D4923" w:rsidRDefault="009D4923" w:rsidP="009D4923">
      <w:pPr>
        <w:pStyle w:val="NormalWeb"/>
        <w:spacing w:before="0" w:beforeAutospacing="0" w:after="0" w:afterAutospacing="0"/>
        <w:jc w:val="both"/>
        <w:rPr>
          <w:color w:val="0E101A"/>
          <w:sz w:val="20"/>
          <w:szCs w:val="20"/>
        </w:rPr>
      </w:pPr>
    </w:p>
    <w:p w:rsidR="00EE1821" w:rsidRPr="00AB634F" w:rsidRDefault="00AE4C26" w:rsidP="00AB634F">
      <w:pPr>
        <w:pStyle w:val="NormalWeb"/>
        <w:spacing w:before="0" w:beforeAutospacing="0" w:after="0" w:afterAutospacing="0"/>
        <w:ind w:firstLine="567"/>
        <w:jc w:val="both"/>
        <w:rPr>
          <w:color w:val="0E101A"/>
          <w:sz w:val="20"/>
          <w:szCs w:val="20"/>
        </w:rPr>
      </w:pPr>
      <w:r w:rsidRPr="00DD01F8">
        <w:rPr>
          <w:color w:val="0E101A"/>
          <w:sz w:val="20"/>
          <w:szCs w:val="20"/>
        </w:rPr>
        <w:t xml:space="preserve">This publication incorporates an automated algorithm, namely </w:t>
      </w:r>
      <w:r w:rsidRPr="00DD01F8">
        <w:rPr>
          <w:b/>
          <w:color w:val="0E101A"/>
          <w:sz w:val="20"/>
          <w:szCs w:val="20"/>
        </w:rPr>
        <w:t>auto.arima()</w:t>
      </w:r>
      <w:r w:rsidRPr="00DD01F8">
        <w:rPr>
          <w:color w:val="0E101A"/>
          <w:sz w:val="20"/>
          <w:szCs w:val="20"/>
        </w:rPr>
        <w:t>, for the convenience of fast forecasting from forecast package of R to obtain the ARIMA model development and subsequent forecasting using [13], [14] and [15].</w:t>
      </w:r>
    </w:p>
    <w:p w:rsidR="00D90745" w:rsidRPr="00532A4C" w:rsidRDefault="00AE4C26" w:rsidP="00A223D7">
      <w:pPr>
        <w:tabs>
          <w:tab w:val="left" w:pos="5510"/>
        </w:tabs>
        <w:ind w:firstLine="567"/>
        <w:jc w:val="both"/>
        <w:rPr>
          <w:sz w:val="20"/>
          <w:szCs w:val="20"/>
        </w:rPr>
      </w:pPr>
      <w:r w:rsidRPr="00532A4C">
        <w:rPr>
          <w:sz w:val="20"/>
          <w:szCs w:val="20"/>
        </w:rPr>
        <w:t>The ETS method [1</w:t>
      </w:r>
      <w:r w:rsidR="00217938">
        <w:rPr>
          <w:sz w:val="20"/>
          <w:szCs w:val="20"/>
        </w:rPr>
        <w:t>8</w:t>
      </w:r>
      <w:r w:rsidRPr="00532A4C">
        <w:rPr>
          <w:sz w:val="20"/>
          <w:szCs w:val="20"/>
        </w:rPr>
        <w:t>] is a member of the exponential smoothing-state space model family that uses three parameters – </w:t>
      </w:r>
      <w:r w:rsidRPr="00532A4C">
        <w:rPr>
          <w:rStyle w:val="Strong"/>
          <w:color w:val="0E101A"/>
          <w:sz w:val="20"/>
          <w:szCs w:val="20"/>
        </w:rPr>
        <w:t>Error</w:t>
      </w:r>
      <w:r w:rsidRPr="00532A4C">
        <w:rPr>
          <w:sz w:val="20"/>
          <w:szCs w:val="20"/>
        </w:rPr>
        <w:t>, </w:t>
      </w:r>
      <w:r w:rsidRPr="00532A4C">
        <w:rPr>
          <w:rStyle w:val="Strong"/>
          <w:color w:val="0E101A"/>
          <w:sz w:val="20"/>
          <w:szCs w:val="20"/>
        </w:rPr>
        <w:t>Trend</w:t>
      </w:r>
      <w:r w:rsidRPr="00532A4C">
        <w:rPr>
          <w:sz w:val="20"/>
          <w:szCs w:val="20"/>
        </w:rPr>
        <w:t>, and </w:t>
      </w:r>
      <w:r w:rsidRPr="00532A4C">
        <w:rPr>
          <w:rStyle w:val="Strong"/>
          <w:color w:val="0E101A"/>
          <w:sz w:val="20"/>
          <w:szCs w:val="20"/>
        </w:rPr>
        <w:t>Seasonality</w:t>
      </w:r>
      <w:r w:rsidRPr="00532A4C">
        <w:rPr>
          <w:sz w:val="20"/>
          <w:szCs w:val="20"/>
        </w:rPr>
        <w:t>. Each of these three parameters, described as follows:</w:t>
      </w:r>
    </w:p>
    <w:p w:rsidR="00D90745" w:rsidRPr="00532A4C" w:rsidRDefault="00AE4C26" w:rsidP="00144046">
      <w:pPr>
        <w:pStyle w:val="ListParagraph"/>
        <w:numPr>
          <w:ilvl w:val="0"/>
          <w:numId w:val="7"/>
        </w:numPr>
        <w:ind w:left="360"/>
        <w:jc w:val="both"/>
        <w:rPr>
          <w:sz w:val="20"/>
          <w:szCs w:val="20"/>
        </w:rPr>
      </w:pPr>
      <w:r w:rsidRPr="00532A4C">
        <w:rPr>
          <w:sz w:val="20"/>
          <w:szCs w:val="20"/>
        </w:rPr>
        <w:t>Error = {Additive, Multiplicative}</w:t>
      </w:r>
    </w:p>
    <w:p w:rsidR="00D90745" w:rsidRPr="00532A4C" w:rsidRDefault="00AE4C26" w:rsidP="00144046">
      <w:pPr>
        <w:pStyle w:val="ListParagraph"/>
        <w:numPr>
          <w:ilvl w:val="0"/>
          <w:numId w:val="7"/>
        </w:numPr>
        <w:ind w:left="360"/>
        <w:jc w:val="both"/>
        <w:rPr>
          <w:sz w:val="20"/>
          <w:szCs w:val="20"/>
        </w:rPr>
      </w:pPr>
      <w:r w:rsidRPr="00532A4C">
        <w:rPr>
          <w:sz w:val="20"/>
          <w:szCs w:val="20"/>
        </w:rPr>
        <w:t>Trend = {None, Additive, Additive-Damped, Multiplicative, Multiplicative-Damped}</w:t>
      </w:r>
    </w:p>
    <w:p w:rsidR="00D90745" w:rsidRDefault="00AE4C26" w:rsidP="00144046">
      <w:pPr>
        <w:pStyle w:val="ListParagraph"/>
        <w:numPr>
          <w:ilvl w:val="0"/>
          <w:numId w:val="7"/>
        </w:numPr>
        <w:tabs>
          <w:tab w:val="left" w:pos="5510"/>
        </w:tabs>
        <w:ind w:left="360"/>
        <w:jc w:val="both"/>
        <w:rPr>
          <w:sz w:val="20"/>
          <w:szCs w:val="20"/>
        </w:rPr>
      </w:pPr>
      <w:r w:rsidRPr="00532A4C">
        <w:rPr>
          <w:sz w:val="20"/>
          <w:szCs w:val="20"/>
        </w:rPr>
        <w:t>Seasonality = {None, Additive, Multiplicative}</w:t>
      </w:r>
    </w:p>
    <w:p w:rsidR="00FC41CE" w:rsidRDefault="00FC41CE" w:rsidP="00FC41CE">
      <w:pPr>
        <w:tabs>
          <w:tab w:val="left" w:pos="5510"/>
        </w:tabs>
        <w:rPr>
          <w:sz w:val="20"/>
          <w:szCs w:val="20"/>
        </w:rPr>
      </w:pPr>
    </w:p>
    <w:p w:rsidR="00FC41CE" w:rsidRPr="0092767C" w:rsidRDefault="00FC41CE" w:rsidP="00FC41CE">
      <w:pPr>
        <w:jc w:val="both"/>
        <w:rPr>
          <w:rFonts w:eastAsiaTheme="minorEastAsia"/>
          <w:b/>
          <w:sz w:val="20"/>
          <w:szCs w:val="20"/>
        </w:rPr>
      </w:pPr>
      <w:r w:rsidRPr="00AF0501">
        <w:rPr>
          <w:b/>
          <w:sz w:val="20"/>
          <w:szCs w:val="20"/>
        </w:rPr>
        <w:t>Table 1</w:t>
      </w:r>
      <w:r w:rsidRPr="0092767C">
        <w:rPr>
          <w:sz w:val="20"/>
          <w:szCs w:val="20"/>
        </w:rPr>
        <w:t xml:space="preserve"> Parameter</w:t>
      </w:r>
      <w:r>
        <w:rPr>
          <w:sz w:val="20"/>
          <w:szCs w:val="20"/>
        </w:rPr>
        <w:t xml:space="preserve"> table with default value in [12</w:t>
      </w:r>
      <w:r w:rsidRPr="0092767C">
        <w:rPr>
          <w:sz w:val="20"/>
          <w:szCs w:val="20"/>
        </w:rPr>
        <w:t>]</w:t>
      </w:r>
    </w:p>
    <w:tbl>
      <w:tblPr>
        <w:tblStyle w:val="TableGrid"/>
        <w:tblW w:w="4695" w:type="dxa"/>
        <w:tblBorders>
          <w:left w:val="none" w:sz="0" w:space="0" w:color="auto"/>
          <w:bottom w:val="none" w:sz="0" w:space="0" w:color="auto"/>
          <w:right w:val="none" w:sz="0" w:space="0" w:color="auto"/>
          <w:insideV w:val="none" w:sz="0" w:space="0" w:color="auto"/>
        </w:tblBorders>
        <w:tblLayout w:type="fixed"/>
        <w:tblCellMar>
          <w:left w:w="0" w:type="dxa"/>
          <w:right w:w="0" w:type="dxa"/>
        </w:tblCellMar>
        <w:tblLook w:val="04A0"/>
      </w:tblPr>
      <w:tblGrid>
        <w:gridCol w:w="639"/>
        <w:gridCol w:w="786"/>
        <w:gridCol w:w="786"/>
        <w:gridCol w:w="1310"/>
        <w:gridCol w:w="1174"/>
      </w:tblGrid>
      <w:tr w:rsidR="00FC41CE" w:rsidTr="00C043DD">
        <w:trPr>
          <w:trHeight w:val="616"/>
        </w:trPr>
        <w:tc>
          <w:tcPr>
            <w:tcW w:w="639" w:type="dxa"/>
            <w:tcBorders>
              <w:bottom w:val="single" w:sz="4" w:space="0" w:color="auto"/>
            </w:tcBorders>
            <w:vAlign w:val="center"/>
            <w:hideMark/>
          </w:tcPr>
          <w:p w:rsidR="00FC41CE" w:rsidRPr="0092767C" w:rsidRDefault="00FC41CE" w:rsidP="00C043DD">
            <w:pPr>
              <w:jc w:val="center"/>
              <w:rPr>
                <w:rFonts w:eastAsia="Times New Roman"/>
                <w:bCs/>
                <w:color w:val="000000"/>
                <w:sz w:val="20"/>
                <w:szCs w:val="20"/>
              </w:rPr>
            </w:pPr>
            <w:r w:rsidRPr="0092767C">
              <w:rPr>
                <w:rFonts w:eastAsia="Times New Roman"/>
                <w:bCs/>
                <w:color w:val="000000"/>
                <w:sz w:val="20"/>
                <w:szCs w:val="20"/>
              </w:rPr>
              <w:t>Serial no.</w:t>
            </w:r>
          </w:p>
        </w:tc>
        <w:tc>
          <w:tcPr>
            <w:tcW w:w="786" w:type="dxa"/>
            <w:tcBorders>
              <w:bottom w:val="single" w:sz="4" w:space="0" w:color="auto"/>
            </w:tcBorders>
            <w:vAlign w:val="center"/>
          </w:tcPr>
          <w:p w:rsidR="00FC41CE" w:rsidRPr="0092767C" w:rsidRDefault="00FC41CE" w:rsidP="00C043DD">
            <w:pPr>
              <w:jc w:val="center"/>
              <w:rPr>
                <w:rFonts w:eastAsia="Times New Roman"/>
                <w:bCs/>
                <w:color w:val="000000"/>
                <w:sz w:val="20"/>
                <w:szCs w:val="20"/>
              </w:rPr>
            </w:pPr>
            <w:r w:rsidRPr="0092767C">
              <w:rPr>
                <w:rFonts w:eastAsia="Times New Roman"/>
                <w:bCs/>
                <w:color w:val="000000"/>
                <w:sz w:val="20"/>
                <w:szCs w:val="20"/>
              </w:rPr>
              <w:t>Method</w:t>
            </w:r>
          </w:p>
        </w:tc>
        <w:tc>
          <w:tcPr>
            <w:tcW w:w="786" w:type="dxa"/>
            <w:tcBorders>
              <w:bottom w:val="single" w:sz="4" w:space="0" w:color="auto"/>
            </w:tcBorders>
            <w:vAlign w:val="center"/>
            <w:hideMark/>
          </w:tcPr>
          <w:p w:rsidR="00FC41CE" w:rsidRPr="0092767C" w:rsidRDefault="00FC41CE" w:rsidP="00C043DD">
            <w:pPr>
              <w:jc w:val="center"/>
              <w:rPr>
                <w:rFonts w:eastAsia="Times New Roman"/>
                <w:bCs/>
                <w:color w:val="000000"/>
                <w:sz w:val="20"/>
                <w:szCs w:val="20"/>
              </w:rPr>
            </w:pPr>
            <w:r w:rsidRPr="0092767C">
              <w:rPr>
                <w:rFonts w:eastAsia="Times New Roman"/>
                <w:bCs/>
                <w:color w:val="000000"/>
                <w:sz w:val="20"/>
                <w:szCs w:val="20"/>
              </w:rPr>
              <w:t>Symbol</w:t>
            </w:r>
          </w:p>
        </w:tc>
        <w:tc>
          <w:tcPr>
            <w:tcW w:w="1310" w:type="dxa"/>
            <w:tcBorders>
              <w:bottom w:val="single" w:sz="4" w:space="0" w:color="auto"/>
            </w:tcBorders>
            <w:vAlign w:val="center"/>
            <w:hideMark/>
          </w:tcPr>
          <w:p w:rsidR="00FC41CE" w:rsidRPr="0092767C" w:rsidRDefault="00FC41CE" w:rsidP="00C043DD">
            <w:pPr>
              <w:jc w:val="center"/>
              <w:rPr>
                <w:rFonts w:eastAsia="Times New Roman"/>
                <w:bCs/>
                <w:color w:val="000000"/>
                <w:sz w:val="20"/>
                <w:szCs w:val="20"/>
              </w:rPr>
            </w:pPr>
            <w:r w:rsidRPr="0092767C">
              <w:rPr>
                <w:rFonts w:eastAsia="Times New Roman"/>
                <w:bCs/>
                <w:color w:val="000000"/>
                <w:sz w:val="20"/>
                <w:szCs w:val="20"/>
              </w:rPr>
              <w:t>Description</w:t>
            </w:r>
          </w:p>
        </w:tc>
        <w:tc>
          <w:tcPr>
            <w:tcW w:w="1174" w:type="dxa"/>
            <w:tcBorders>
              <w:bottom w:val="single" w:sz="4" w:space="0" w:color="auto"/>
            </w:tcBorders>
            <w:vAlign w:val="center"/>
          </w:tcPr>
          <w:p w:rsidR="00FC41CE" w:rsidRPr="0092767C" w:rsidRDefault="00FC41CE" w:rsidP="00C043DD">
            <w:pPr>
              <w:jc w:val="center"/>
              <w:rPr>
                <w:rFonts w:eastAsia="Times New Roman"/>
                <w:bCs/>
                <w:color w:val="000000"/>
                <w:sz w:val="20"/>
                <w:szCs w:val="20"/>
              </w:rPr>
            </w:pPr>
            <w:r w:rsidRPr="0092767C">
              <w:rPr>
                <w:rFonts w:eastAsia="Times New Roman"/>
                <w:bCs/>
                <w:color w:val="000000"/>
                <w:sz w:val="20"/>
                <w:szCs w:val="20"/>
              </w:rPr>
              <w:t>Default value in WEKA</w:t>
            </w:r>
          </w:p>
        </w:tc>
      </w:tr>
      <w:tr w:rsidR="00FC41CE" w:rsidTr="00C043DD">
        <w:trPr>
          <w:trHeight w:val="208"/>
        </w:trPr>
        <w:tc>
          <w:tcPr>
            <w:tcW w:w="639" w:type="dxa"/>
            <w:tcBorders>
              <w:bottom w:val="nil"/>
            </w:tcBorders>
            <w:vAlign w:val="center"/>
          </w:tcPr>
          <w:p w:rsidR="00FC41CE" w:rsidRPr="0092767C" w:rsidRDefault="00FC41CE" w:rsidP="00C043DD">
            <w:pPr>
              <w:contextualSpacing/>
              <w:jc w:val="center"/>
              <w:rPr>
                <w:rFonts w:eastAsia="Times New Roman"/>
                <w:bCs/>
                <w:color w:val="000000"/>
                <w:sz w:val="20"/>
                <w:szCs w:val="20"/>
              </w:rPr>
            </w:pPr>
          </w:p>
        </w:tc>
        <w:tc>
          <w:tcPr>
            <w:tcW w:w="786" w:type="dxa"/>
            <w:tcBorders>
              <w:bottom w:val="nil"/>
            </w:tcBorders>
            <w:vAlign w:val="center"/>
          </w:tcPr>
          <w:p w:rsidR="00FC41CE" w:rsidRPr="0092767C" w:rsidRDefault="00FC41CE" w:rsidP="00C043DD">
            <w:pPr>
              <w:contextualSpacing/>
              <w:jc w:val="center"/>
              <w:rPr>
                <w:rFonts w:eastAsia="Times New Roman"/>
                <w:color w:val="000000"/>
                <w:sz w:val="20"/>
                <w:szCs w:val="20"/>
              </w:rPr>
            </w:pPr>
          </w:p>
        </w:tc>
        <w:tc>
          <w:tcPr>
            <w:tcW w:w="786" w:type="dxa"/>
            <w:tcBorders>
              <w:bottom w:val="nil"/>
            </w:tcBorders>
            <w:vAlign w:val="center"/>
          </w:tcPr>
          <w:p w:rsidR="00FC41CE" w:rsidRPr="0092767C" w:rsidRDefault="00FC41CE" w:rsidP="00C043DD">
            <w:pPr>
              <w:contextualSpacing/>
              <w:jc w:val="center"/>
              <w:rPr>
                <w:rFonts w:eastAsia="Times New Roman"/>
                <w:color w:val="000000"/>
                <w:sz w:val="20"/>
                <w:szCs w:val="20"/>
              </w:rPr>
            </w:pPr>
          </w:p>
        </w:tc>
        <w:tc>
          <w:tcPr>
            <w:tcW w:w="1310" w:type="dxa"/>
            <w:tcBorders>
              <w:bottom w:val="nil"/>
            </w:tcBorders>
            <w:vAlign w:val="center"/>
          </w:tcPr>
          <w:p w:rsidR="00FC41CE" w:rsidRPr="0092767C" w:rsidRDefault="00FC41CE" w:rsidP="00C043DD">
            <w:pPr>
              <w:contextualSpacing/>
              <w:jc w:val="center"/>
              <w:rPr>
                <w:rFonts w:eastAsia="Times New Roman"/>
                <w:color w:val="000000"/>
                <w:sz w:val="20"/>
                <w:szCs w:val="20"/>
              </w:rPr>
            </w:pPr>
          </w:p>
        </w:tc>
        <w:tc>
          <w:tcPr>
            <w:tcW w:w="1174" w:type="dxa"/>
            <w:tcBorders>
              <w:bottom w:val="nil"/>
            </w:tcBorders>
            <w:vAlign w:val="center"/>
          </w:tcPr>
          <w:p w:rsidR="00FC41CE" w:rsidRPr="0092767C" w:rsidRDefault="00FC41CE" w:rsidP="00C043DD">
            <w:pPr>
              <w:contextualSpacing/>
              <w:jc w:val="center"/>
              <w:rPr>
                <w:rFonts w:eastAsia="Times New Roman"/>
                <w:color w:val="000000"/>
                <w:sz w:val="20"/>
                <w:szCs w:val="20"/>
              </w:rPr>
            </w:pPr>
          </w:p>
        </w:tc>
      </w:tr>
      <w:tr w:rsidR="00FC41CE" w:rsidTr="00C043DD">
        <w:trPr>
          <w:trHeight w:val="610"/>
        </w:trPr>
        <w:tc>
          <w:tcPr>
            <w:tcW w:w="639" w:type="dxa"/>
            <w:tcBorders>
              <w:top w:val="nil"/>
              <w:bottom w:val="nil"/>
            </w:tcBorders>
            <w:vAlign w:val="center"/>
          </w:tcPr>
          <w:p w:rsidR="00FC41CE" w:rsidRPr="0092767C" w:rsidRDefault="00FC41CE" w:rsidP="00C043DD">
            <w:pPr>
              <w:contextualSpacing/>
              <w:jc w:val="center"/>
              <w:rPr>
                <w:rFonts w:eastAsia="Times New Roman"/>
                <w:bCs/>
                <w:color w:val="000000"/>
                <w:sz w:val="20"/>
                <w:szCs w:val="20"/>
              </w:rPr>
            </w:pPr>
            <w:r w:rsidRPr="0092767C">
              <w:rPr>
                <w:rFonts w:eastAsia="Times New Roman"/>
                <w:bCs/>
                <w:color w:val="000000"/>
                <w:sz w:val="20"/>
                <w:szCs w:val="20"/>
              </w:rPr>
              <w:t>1</w:t>
            </w:r>
          </w:p>
        </w:tc>
        <w:tc>
          <w:tcPr>
            <w:tcW w:w="786" w:type="dxa"/>
            <w:tcBorders>
              <w:top w:val="nil"/>
              <w:bottom w:val="nil"/>
            </w:tcBorders>
            <w:vAlign w:val="center"/>
          </w:tcPr>
          <w:p w:rsidR="00FC41CE" w:rsidRPr="0092767C" w:rsidRDefault="00FC41CE" w:rsidP="00C043DD">
            <w:pPr>
              <w:contextualSpacing/>
              <w:jc w:val="center"/>
              <w:rPr>
                <w:rFonts w:eastAsia="Times New Roman"/>
                <w:color w:val="000000"/>
                <w:sz w:val="20"/>
                <w:szCs w:val="20"/>
              </w:rPr>
            </w:pPr>
            <w:r w:rsidRPr="0092767C">
              <w:rPr>
                <w:rFonts w:eastAsia="Times New Roman"/>
                <w:color w:val="000000"/>
                <w:sz w:val="20"/>
                <w:szCs w:val="20"/>
              </w:rPr>
              <w:t>RFM</w:t>
            </w:r>
          </w:p>
        </w:tc>
        <w:tc>
          <w:tcPr>
            <w:tcW w:w="786" w:type="dxa"/>
            <w:tcBorders>
              <w:top w:val="nil"/>
              <w:bottom w:val="nil"/>
            </w:tcBorders>
            <w:vAlign w:val="center"/>
          </w:tcPr>
          <w:p w:rsidR="00FC41CE" w:rsidRPr="0092767C" w:rsidRDefault="00FC41CE" w:rsidP="00C043DD">
            <w:pPr>
              <w:contextualSpacing/>
              <w:jc w:val="center"/>
              <w:rPr>
                <w:rFonts w:eastAsia="Times New Roman"/>
                <w:color w:val="000000"/>
                <w:sz w:val="20"/>
                <w:szCs w:val="20"/>
              </w:rPr>
            </w:pPr>
            <w:r w:rsidRPr="0092767C">
              <w:rPr>
                <w:rFonts w:eastAsia="Times New Roman"/>
                <w:color w:val="000000"/>
                <w:sz w:val="20"/>
                <w:szCs w:val="20"/>
              </w:rPr>
              <w:t>α</w:t>
            </w:r>
          </w:p>
        </w:tc>
        <w:tc>
          <w:tcPr>
            <w:tcW w:w="1310" w:type="dxa"/>
            <w:tcBorders>
              <w:top w:val="nil"/>
              <w:bottom w:val="nil"/>
            </w:tcBorders>
            <w:vAlign w:val="center"/>
          </w:tcPr>
          <w:p w:rsidR="00FC41CE" w:rsidRPr="0092767C" w:rsidRDefault="00FC41CE" w:rsidP="00C043DD">
            <w:pPr>
              <w:contextualSpacing/>
              <w:jc w:val="center"/>
              <w:rPr>
                <w:rFonts w:eastAsia="Times New Roman"/>
                <w:color w:val="000000"/>
                <w:sz w:val="20"/>
                <w:szCs w:val="20"/>
              </w:rPr>
            </w:pPr>
            <w:r w:rsidRPr="0092767C">
              <w:rPr>
                <w:rFonts w:eastAsia="Times New Roman"/>
                <w:color w:val="000000"/>
                <w:sz w:val="20"/>
                <w:szCs w:val="20"/>
              </w:rPr>
              <w:t>No. of Iterations/Trees</w:t>
            </w:r>
          </w:p>
        </w:tc>
        <w:tc>
          <w:tcPr>
            <w:tcW w:w="1174" w:type="dxa"/>
            <w:tcBorders>
              <w:top w:val="nil"/>
              <w:bottom w:val="nil"/>
            </w:tcBorders>
            <w:vAlign w:val="center"/>
          </w:tcPr>
          <w:p w:rsidR="00FC41CE" w:rsidRPr="0092767C" w:rsidRDefault="00FC41CE" w:rsidP="00C043DD">
            <w:pPr>
              <w:contextualSpacing/>
              <w:jc w:val="center"/>
              <w:rPr>
                <w:rFonts w:eastAsia="Times New Roman"/>
                <w:color w:val="000000"/>
                <w:sz w:val="20"/>
                <w:szCs w:val="20"/>
              </w:rPr>
            </w:pPr>
            <w:r w:rsidRPr="0092767C">
              <w:rPr>
                <w:rFonts w:eastAsia="Times New Roman"/>
                <w:color w:val="000000"/>
                <w:sz w:val="20"/>
                <w:szCs w:val="20"/>
              </w:rPr>
              <w:t>100</w:t>
            </w:r>
          </w:p>
        </w:tc>
      </w:tr>
      <w:tr w:rsidR="00FC41CE" w:rsidTr="00C043DD">
        <w:trPr>
          <w:trHeight w:val="56"/>
        </w:trPr>
        <w:tc>
          <w:tcPr>
            <w:tcW w:w="639" w:type="dxa"/>
            <w:tcBorders>
              <w:top w:val="nil"/>
              <w:bottom w:val="nil"/>
            </w:tcBorders>
            <w:vAlign w:val="center"/>
            <w:hideMark/>
          </w:tcPr>
          <w:p w:rsidR="00FC41CE" w:rsidRPr="0092767C" w:rsidRDefault="00FC41CE" w:rsidP="00C043DD">
            <w:pPr>
              <w:contextualSpacing/>
              <w:jc w:val="center"/>
              <w:rPr>
                <w:rFonts w:eastAsia="Times New Roman"/>
                <w:color w:val="000000"/>
                <w:sz w:val="20"/>
                <w:szCs w:val="20"/>
              </w:rPr>
            </w:pPr>
            <w:r w:rsidRPr="0092767C">
              <w:rPr>
                <w:rFonts w:eastAsia="Times New Roman"/>
                <w:color w:val="000000"/>
                <w:sz w:val="20"/>
                <w:szCs w:val="20"/>
              </w:rPr>
              <w:t>2</w:t>
            </w:r>
          </w:p>
        </w:tc>
        <w:tc>
          <w:tcPr>
            <w:tcW w:w="786" w:type="dxa"/>
            <w:tcBorders>
              <w:top w:val="nil"/>
              <w:bottom w:val="nil"/>
            </w:tcBorders>
            <w:vAlign w:val="center"/>
          </w:tcPr>
          <w:p w:rsidR="00FC41CE" w:rsidRPr="0092767C" w:rsidRDefault="00FC41CE" w:rsidP="00C043DD">
            <w:pPr>
              <w:contextualSpacing/>
              <w:jc w:val="center"/>
              <w:rPr>
                <w:sz w:val="20"/>
                <w:szCs w:val="20"/>
              </w:rPr>
            </w:pPr>
            <w:r w:rsidRPr="0092767C">
              <w:rPr>
                <w:sz w:val="20"/>
                <w:szCs w:val="20"/>
              </w:rPr>
              <w:t>MLP</w:t>
            </w:r>
          </w:p>
        </w:tc>
        <w:tc>
          <w:tcPr>
            <w:tcW w:w="786" w:type="dxa"/>
            <w:tcBorders>
              <w:top w:val="nil"/>
              <w:bottom w:val="nil"/>
            </w:tcBorders>
            <w:vAlign w:val="center"/>
          </w:tcPr>
          <w:p w:rsidR="00FC41CE" w:rsidRPr="0092767C" w:rsidRDefault="00FC41CE" w:rsidP="00C043DD">
            <w:pPr>
              <w:contextualSpacing/>
              <w:jc w:val="center"/>
              <w:rPr>
                <w:rFonts w:eastAsia="Times New Roman"/>
                <w:color w:val="000000"/>
                <w:sz w:val="20"/>
                <w:szCs w:val="20"/>
              </w:rPr>
            </w:pPr>
            <w:r w:rsidRPr="0092767C">
              <w:rPr>
                <w:bCs/>
                <w:sz w:val="20"/>
                <w:szCs w:val="20"/>
              </w:rPr>
              <w:t>Ƞ</w:t>
            </w:r>
          </w:p>
        </w:tc>
        <w:tc>
          <w:tcPr>
            <w:tcW w:w="1310" w:type="dxa"/>
            <w:tcBorders>
              <w:top w:val="nil"/>
              <w:bottom w:val="nil"/>
            </w:tcBorders>
            <w:vAlign w:val="center"/>
            <w:hideMark/>
          </w:tcPr>
          <w:p w:rsidR="00FC41CE" w:rsidRPr="0092767C" w:rsidRDefault="00FC41CE" w:rsidP="00C043DD">
            <w:pPr>
              <w:contextualSpacing/>
              <w:jc w:val="center"/>
              <w:rPr>
                <w:rFonts w:eastAsia="Times New Roman"/>
                <w:color w:val="000000"/>
                <w:sz w:val="20"/>
                <w:szCs w:val="20"/>
              </w:rPr>
            </w:pPr>
            <w:r w:rsidRPr="0092767C">
              <w:rPr>
                <w:sz w:val="20"/>
                <w:szCs w:val="20"/>
              </w:rPr>
              <w:t>Learning rate</w:t>
            </w:r>
          </w:p>
        </w:tc>
        <w:tc>
          <w:tcPr>
            <w:tcW w:w="1174" w:type="dxa"/>
            <w:tcBorders>
              <w:top w:val="nil"/>
              <w:bottom w:val="nil"/>
            </w:tcBorders>
            <w:vAlign w:val="center"/>
          </w:tcPr>
          <w:p w:rsidR="00FC41CE" w:rsidRPr="0092767C" w:rsidRDefault="00FC41CE" w:rsidP="00C043DD">
            <w:pPr>
              <w:contextualSpacing/>
              <w:jc w:val="center"/>
              <w:rPr>
                <w:sz w:val="20"/>
                <w:szCs w:val="20"/>
              </w:rPr>
            </w:pPr>
            <w:r w:rsidRPr="0092767C">
              <w:rPr>
                <w:sz w:val="20"/>
                <w:szCs w:val="20"/>
              </w:rPr>
              <w:t>0.3</w:t>
            </w:r>
          </w:p>
        </w:tc>
      </w:tr>
      <w:tr w:rsidR="00FC41CE" w:rsidTr="00C043DD">
        <w:trPr>
          <w:trHeight w:val="215"/>
        </w:trPr>
        <w:tc>
          <w:tcPr>
            <w:tcW w:w="639" w:type="dxa"/>
            <w:tcBorders>
              <w:top w:val="nil"/>
              <w:bottom w:val="nil"/>
            </w:tcBorders>
            <w:vAlign w:val="center"/>
          </w:tcPr>
          <w:p w:rsidR="00FC41CE" w:rsidRPr="0092767C" w:rsidRDefault="00FC41CE" w:rsidP="00C043DD">
            <w:pPr>
              <w:contextualSpacing/>
              <w:jc w:val="center"/>
              <w:rPr>
                <w:rFonts w:eastAsia="Times New Roman"/>
                <w:color w:val="000000"/>
                <w:sz w:val="20"/>
                <w:szCs w:val="20"/>
              </w:rPr>
            </w:pPr>
          </w:p>
        </w:tc>
        <w:tc>
          <w:tcPr>
            <w:tcW w:w="786" w:type="dxa"/>
            <w:tcBorders>
              <w:top w:val="nil"/>
              <w:bottom w:val="nil"/>
            </w:tcBorders>
            <w:vAlign w:val="center"/>
          </w:tcPr>
          <w:p w:rsidR="00FC41CE" w:rsidRPr="0092767C" w:rsidRDefault="00FC41CE" w:rsidP="00C043DD">
            <w:pPr>
              <w:contextualSpacing/>
              <w:jc w:val="center"/>
              <w:rPr>
                <w:sz w:val="20"/>
                <w:szCs w:val="20"/>
              </w:rPr>
            </w:pPr>
          </w:p>
        </w:tc>
        <w:tc>
          <w:tcPr>
            <w:tcW w:w="786" w:type="dxa"/>
            <w:tcBorders>
              <w:top w:val="nil"/>
              <w:bottom w:val="nil"/>
            </w:tcBorders>
            <w:vAlign w:val="center"/>
          </w:tcPr>
          <w:p w:rsidR="00FC41CE" w:rsidRPr="0092767C" w:rsidRDefault="00FC41CE" w:rsidP="00C043DD">
            <w:pPr>
              <w:contextualSpacing/>
              <w:jc w:val="center"/>
              <w:rPr>
                <w:bCs/>
                <w:sz w:val="20"/>
                <w:szCs w:val="20"/>
              </w:rPr>
            </w:pPr>
          </w:p>
        </w:tc>
        <w:tc>
          <w:tcPr>
            <w:tcW w:w="1310" w:type="dxa"/>
            <w:tcBorders>
              <w:top w:val="nil"/>
              <w:bottom w:val="nil"/>
            </w:tcBorders>
            <w:vAlign w:val="center"/>
          </w:tcPr>
          <w:p w:rsidR="00FC41CE" w:rsidRPr="0092767C" w:rsidRDefault="00FC41CE" w:rsidP="00C043DD">
            <w:pPr>
              <w:contextualSpacing/>
              <w:jc w:val="center"/>
              <w:rPr>
                <w:sz w:val="20"/>
                <w:szCs w:val="20"/>
              </w:rPr>
            </w:pPr>
          </w:p>
        </w:tc>
        <w:tc>
          <w:tcPr>
            <w:tcW w:w="1174" w:type="dxa"/>
            <w:tcBorders>
              <w:top w:val="nil"/>
              <w:bottom w:val="nil"/>
            </w:tcBorders>
            <w:vAlign w:val="center"/>
          </w:tcPr>
          <w:p w:rsidR="00FC41CE" w:rsidRPr="0092767C" w:rsidRDefault="00FC41CE" w:rsidP="00C043DD">
            <w:pPr>
              <w:contextualSpacing/>
              <w:jc w:val="center"/>
              <w:rPr>
                <w:sz w:val="20"/>
                <w:szCs w:val="20"/>
              </w:rPr>
            </w:pPr>
          </w:p>
        </w:tc>
      </w:tr>
    </w:tbl>
    <w:p w:rsidR="00FC41CE" w:rsidRPr="00FC41CE" w:rsidRDefault="00FC41CE" w:rsidP="00FC41CE">
      <w:pPr>
        <w:tabs>
          <w:tab w:val="left" w:pos="5510"/>
        </w:tabs>
        <w:jc w:val="both"/>
        <w:rPr>
          <w:sz w:val="20"/>
          <w:szCs w:val="20"/>
        </w:rPr>
      </w:pPr>
    </w:p>
    <w:p w:rsidR="00711ABE" w:rsidRDefault="00AE4C26" w:rsidP="00551F8C">
      <w:pPr>
        <w:tabs>
          <w:tab w:val="left" w:pos="5510"/>
        </w:tabs>
        <w:ind w:firstLine="567"/>
        <w:jc w:val="both"/>
        <w:rPr>
          <w:color w:val="0E101A"/>
          <w:sz w:val="20"/>
          <w:szCs w:val="20"/>
        </w:rPr>
      </w:pPr>
      <w:r w:rsidRPr="00635D61">
        <w:rPr>
          <w:color w:val="0E101A"/>
          <w:sz w:val="20"/>
          <w:szCs w:val="20"/>
        </w:rPr>
        <w:t xml:space="preserve">The ETS scheme, with its three parameters – Error, Trend, and Seasonality, can provide us many combinations. Our primary objective is to select the best-fitted model from the set of ETS combinatorics. Developing individual models of ETS is wearisome. Thus, we have used the </w:t>
      </w:r>
      <w:r w:rsidRPr="00635D61">
        <w:rPr>
          <w:b/>
          <w:color w:val="0E101A"/>
          <w:sz w:val="20"/>
          <w:szCs w:val="20"/>
        </w:rPr>
        <w:t>ets()</w:t>
      </w:r>
      <w:r w:rsidRPr="00635D61">
        <w:rPr>
          <w:color w:val="0E101A"/>
          <w:sz w:val="20"/>
          <w:szCs w:val="20"/>
        </w:rPr>
        <w:t xml:space="preserve"> of the forecast package of R to identify the best ETS candidate model [13], [14] and [15]. The AICc used to select the appropriate model automatically.</w:t>
      </w:r>
    </w:p>
    <w:p w:rsidR="001F3038" w:rsidRPr="00FC41CE" w:rsidRDefault="00AE4C26" w:rsidP="00FC41CE">
      <w:pPr>
        <w:tabs>
          <w:tab w:val="left" w:pos="5510"/>
        </w:tabs>
        <w:ind w:firstLine="567"/>
        <w:jc w:val="both"/>
        <w:rPr>
          <w:sz w:val="20"/>
          <w:szCs w:val="20"/>
        </w:rPr>
      </w:pPr>
      <w:r w:rsidRPr="00307B1E">
        <w:rPr>
          <w:sz w:val="20"/>
          <w:szCs w:val="20"/>
        </w:rPr>
        <w:t xml:space="preserve">The ARIMA and ETS modelling methods have multifaceted applications in the field of medical informatics, wherein </w:t>
      </w:r>
      <w:r w:rsidR="00A453C0">
        <w:rPr>
          <w:sz w:val="20"/>
          <w:szCs w:val="20"/>
        </w:rPr>
        <w:t xml:space="preserve">A. </w:t>
      </w:r>
      <w:r w:rsidRPr="00307B1E">
        <w:rPr>
          <w:sz w:val="20"/>
          <w:szCs w:val="20"/>
        </w:rPr>
        <w:t xml:space="preserve">Zheng et al. </w:t>
      </w:r>
      <w:r w:rsidR="00606CF6" w:rsidRPr="00307B1E">
        <w:rPr>
          <w:sz w:val="20"/>
          <w:szCs w:val="20"/>
        </w:rPr>
        <w:t>[</w:t>
      </w:r>
      <w:r w:rsidR="00606CF6">
        <w:rPr>
          <w:sz w:val="20"/>
          <w:szCs w:val="20"/>
        </w:rPr>
        <w:t>19</w:t>
      </w:r>
      <w:r w:rsidR="00606CF6" w:rsidRPr="00307B1E">
        <w:rPr>
          <w:sz w:val="20"/>
          <w:szCs w:val="20"/>
        </w:rPr>
        <w:t>]</w:t>
      </w:r>
      <w:r w:rsidRPr="00307B1E">
        <w:rPr>
          <w:sz w:val="20"/>
          <w:szCs w:val="20"/>
        </w:rPr>
        <w:t xml:space="preserve">used the ARIMA model to forecast the health expenditure such as Total, Government, Social, and Out of pocket expenses in China. In another work, </w:t>
      </w:r>
      <w:r w:rsidR="009D6F6F">
        <w:rPr>
          <w:sz w:val="20"/>
          <w:szCs w:val="20"/>
        </w:rPr>
        <w:t xml:space="preserve">L. </w:t>
      </w:r>
      <w:r w:rsidRPr="00307B1E">
        <w:rPr>
          <w:sz w:val="20"/>
          <w:szCs w:val="20"/>
        </w:rPr>
        <w:t xml:space="preserve">Wang et al. </w:t>
      </w:r>
      <w:r w:rsidR="00C201EA" w:rsidRPr="00307B1E">
        <w:rPr>
          <w:sz w:val="20"/>
          <w:szCs w:val="20"/>
        </w:rPr>
        <w:t>[</w:t>
      </w:r>
      <w:r w:rsidR="00C201EA">
        <w:rPr>
          <w:sz w:val="20"/>
          <w:szCs w:val="20"/>
        </w:rPr>
        <w:t>20</w:t>
      </w:r>
      <w:r w:rsidR="00C201EA" w:rsidRPr="00307B1E">
        <w:rPr>
          <w:sz w:val="20"/>
          <w:szCs w:val="20"/>
        </w:rPr>
        <w:t>]</w:t>
      </w:r>
      <w:r w:rsidRPr="00307B1E">
        <w:rPr>
          <w:sz w:val="20"/>
          <w:szCs w:val="20"/>
        </w:rPr>
        <w:t xml:space="preserve">employed the ARIMA model to predict the Brucellosis pandemic in Jinzhou, China, whereas, </w:t>
      </w:r>
      <w:r w:rsidR="00FC3E12">
        <w:rPr>
          <w:sz w:val="20"/>
          <w:szCs w:val="20"/>
        </w:rPr>
        <w:t xml:space="preserve">H. </w:t>
      </w:r>
      <w:r w:rsidRPr="00307B1E">
        <w:rPr>
          <w:sz w:val="20"/>
          <w:szCs w:val="20"/>
        </w:rPr>
        <w:t xml:space="preserve">Liu et al. </w:t>
      </w:r>
      <w:r w:rsidR="0096213B" w:rsidRPr="00307B1E">
        <w:rPr>
          <w:sz w:val="20"/>
          <w:szCs w:val="20"/>
        </w:rPr>
        <w:t>[</w:t>
      </w:r>
      <w:r w:rsidR="0096213B">
        <w:rPr>
          <w:sz w:val="20"/>
          <w:szCs w:val="20"/>
        </w:rPr>
        <w:t>21</w:t>
      </w:r>
      <w:r w:rsidR="0096213B" w:rsidRPr="00307B1E">
        <w:rPr>
          <w:sz w:val="20"/>
          <w:szCs w:val="20"/>
        </w:rPr>
        <w:t>]</w:t>
      </w:r>
      <w:r w:rsidRPr="00307B1E">
        <w:rPr>
          <w:sz w:val="20"/>
          <w:szCs w:val="20"/>
        </w:rPr>
        <w:t xml:space="preserve">used a combination of ETS and SARIMA model for forecasting haemorrhagic conjunctivitis drifts in China. In their paper, </w:t>
      </w:r>
      <w:r w:rsidR="002A5141">
        <w:rPr>
          <w:sz w:val="20"/>
          <w:szCs w:val="20"/>
        </w:rPr>
        <w:t xml:space="preserve">Y. J. </w:t>
      </w:r>
      <w:r w:rsidRPr="00307B1E">
        <w:rPr>
          <w:sz w:val="20"/>
          <w:szCs w:val="20"/>
        </w:rPr>
        <w:t xml:space="preserve">Tseng and </w:t>
      </w:r>
      <w:r w:rsidR="002A5141">
        <w:rPr>
          <w:sz w:val="20"/>
          <w:szCs w:val="20"/>
        </w:rPr>
        <w:t xml:space="preserve">Y. L. </w:t>
      </w:r>
      <w:r w:rsidRPr="00307B1E">
        <w:rPr>
          <w:sz w:val="20"/>
          <w:szCs w:val="20"/>
        </w:rPr>
        <w:t xml:space="preserve">Shih </w:t>
      </w:r>
      <w:r w:rsidR="00E633C1" w:rsidRPr="00307B1E">
        <w:rPr>
          <w:sz w:val="20"/>
          <w:szCs w:val="20"/>
        </w:rPr>
        <w:t>[</w:t>
      </w:r>
      <w:r w:rsidR="00E633C1">
        <w:rPr>
          <w:sz w:val="20"/>
          <w:szCs w:val="20"/>
        </w:rPr>
        <w:t xml:space="preserve">22] </w:t>
      </w:r>
      <w:r w:rsidRPr="00307B1E">
        <w:rPr>
          <w:sz w:val="20"/>
          <w:szCs w:val="20"/>
        </w:rPr>
        <w:t>used time series models, namely, ETS, ARIMA, and Prophet, to perform the forecasting of influenza scourge in Taiwan</w:t>
      </w:r>
      <w:r>
        <w:rPr>
          <w:sz w:val="20"/>
          <w:szCs w:val="20"/>
        </w:rPr>
        <w:t xml:space="preserve">. </w:t>
      </w:r>
      <w:r w:rsidR="00AD0DC5">
        <w:rPr>
          <w:sz w:val="20"/>
          <w:szCs w:val="20"/>
        </w:rPr>
        <w:t xml:space="preserve">M. </w:t>
      </w:r>
      <w:r w:rsidRPr="00307B1E">
        <w:rPr>
          <w:sz w:val="20"/>
          <w:szCs w:val="20"/>
        </w:rPr>
        <w:t xml:space="preserve">Ordu et al. </w:t>
      </w:r>
      <w:r w:rsidR="00F76433">
        <w:rPr>
          <w:sz w:val="20"/>
          <w:szCs w:val="20"/>
        </w:rPr>
        <w:t xml:space="preserve">[23] </w:t>
      </w:r>
      <w:r w:rsidRPr="00307B1E">
        <w:rPr>
          <w:sz w:val="20"/>
          <w:szCs w:val="20"/>
        </w:rPr>
        <w:t xml:space="preserve">employed ARIMA, ETS, </w:t>
      </w:r>
      <w:r w:rsidR="00E87FBE">
        <w:rPr>
          <w:sz w:val="20"/>
          <w:szCs w:val="20"/>
        </w:rPr>
        <w:t>Multiple Linear R</w:t>
      </w:r>
      <w:r w:rsidRPr="00307B1E">
        <w:rPr>
          <w:sz w:val="20"/>
          <w:szCs w:val="20"/>
        </w:rPr>
        <w:t>egression, and Seasonal and Trend decomposition using Loess Function (</w:t>
      </w:r>
      <w:r w:rsidRPr="00307B1E">
        <w:rPr>
          <w:b/>
          <w:sz w:val="20"/>
          <w:szCs w:val="20"/>
        </w:rPr>
        <w:t>STLF</w:t>
      </w:r>
      <w:r w:rsidRPr="00307B1E">
        <w:rPr>
          <w:sz w:val="20"/>
          <w:szCs w:val="20"/>
        </w:rPr>
        <w:t>) methods in generating a complete forecast framework to determine the demand of health care services in hospitals.</w:t>
      </w:r>
    </w:p>
    <w:p w:rsidR="00817A21" w:rsidRPr="000F534A" w:rsidRDefault="00AE4C26" w:rsidP="002506A7">
      <w:pPr>
        <w:pStyle w:val="IETParagraph"/>
        <w:spacing w:line="240" w:lineRule="auto"/>
        <w:rPr>
          <w:sz w:val="20"/>
          <w:szCs w:val="20"/>
        </w:rPr>
      </w:pPr>
      <w:r w:rsidRPr="000E323B">
        <w:rPr>
          <w:sz w:val="20"/>
          <w:szCs w:val="20"/>
        </w:rPr>
        <w:t>We have also employed another statistical forecasting method, namely, LR-lag, to estimate dependent variable Y (Death) based on independent variable X (no. of Days), given in (5).</w:t>
      </w:r>
    </w:p>
    <w:p w:rsidR="00817A21" w:rsidRDefault="00817A21" w:rsidP="00817A21">
      <w:pPr>
        <w:pStyle w:val="IETParagraph"/>
        <w:spacing w:line="240" w:lineRule="auto"/>
        <w:rPr>
          <w:sz w:val="20"/>
          <w:szCs w:val="20"/>
        </w:rPr>
      </w:pPr>
    </w:p>
    <w:p w:rsidR="00817A21" w:rsidRPr="000F534A" w:rsidRDefault="00E80A5E" w:rsidP="00817A21">
      <w:pPr>
        <w:pStyle w:val="IETParagraph"/>
        <w:spacing w:line="240" w:lineRule="auto"/>
        <w:ind w:firstLine="0"/>
        <w:rPr>
          <w:sz w:val="20"/>
          <w:szCs w:val="20"/>
        </w:rPr>
      </w:pPr>
      <m:oMathPara>
        <m:oMath>
          <m:sSub>
            <m:sSubPr>
              <m:ctrlPr>
                <w:rPr>
                  <w:rFonts w:ascii="Cambria Math" w:hAnsi="Cambria Math"/>
                  <w:sz w:val="20"/>
                  <w:szCs w:val="18"/>
                </w:rPr>
              </m:ctrlPr>
            </m:sSubPr>
            <m:e>
              <m:r>
                <m:rPr>
                  <m:sty m:val="p"/>
                </m:rPr>
                <w:rPr>
                  <w:rFonts w:ascii="Cambria Math" w:hAnsi="Cambria Math"/>
                  <w:sz w:val="20"/>
                  <w:szCs w:val="18"/>
                </w:rPr>
                <m:t>Y</m:t>
              </m:r>
            </m:e>
            <m:sub>
              <m:r>
                <m:rPr>
                  <m:sty m:val="p"/>
                </m:rPr>
                <w:rPr>
                  <w:rFonts w:ascii="Cambria Math" w:hAnsi="Cambria Math"/>
                  <w:sz w:val="20"/>
                  <w:szCs w:val="18"/>
                </w:rPr>
                <m:t>t</m:t>
              </m:r>
            </m:sub>
          </m:sSub>
          <m:r>
            <m:rPr>
              <m:sty m:val="p"/>
            </m:rPr>
            <w:rPr>
              <w:rFonts w:ascii="Cambria Math" w:hAnsi="Cambria Math"/>
              <w:sz w:val="20"/>
              <w:szCs w:val="18"/>
            </w:rPr>
            <m:t>=</m:t>
          </m:r>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α</m:t>
              </m:r>
            </m:e>
            <m:sub>
              <m:r>
                <m:rPr>
                  <m:sty m:val="p"/>
                </m:rPr>
                <w:rPr>
                  <w:rFonts w:ascii="Cambria Math" w:eastAsiaTheme="minorEastAsia" w:hAnsi="Cambria Math"/>
                  <w:sz w:val="20"/>
                  <w:szCs w:val="18"/>
                </w:rPr>
                <m:t>0</m:t>
              </m:r>
            </m:sub>
          </m:sSub>
          <m:r>
            <m:rPr>
              <m:sty m:val="p"/>
            </m:rPr>
            <w:rPr>
              <w:rFonts w:ascii="Cambria Math" w:hAnsi="Cambria Math"/>
              <w:sz w:val="20"/>
              <w:szCs w:val="18"/>
            </w:rPr>
            <m:t>*d+</m:t>
          </m:r>
          <m:sSub>
            <m:sSubPr>
              <m:ctrlPr>
                <w:rPr>
                  <w:rFonts w:ascii="Cambria Math" w:hAnsi="Cambria Math"/>
                  <w:sz w:val="20"/>
                  <w:szCs w:val="18"/>
                </w:rPr>
              </m:ctrlPr>
            </m:sSubPr>
            <m:e>
              <m:r>
                <m:rPr>
                  <m:sty m:val="p"/>
                </m:rPr>
                <w:rPr>
                  <w:rFonts w:ascii="Cambria Math" w:hAnsi="Cambria Math"/>
                  <w:sz w:val="20"/>
                  <w:szCs w:val="18"/>
                </w:rPr>
                <m:t>β</m:t>
              </m:r>
            </m:e>
            <m:sub>
              <m:r>
                <m:rPr>
                  <m:sty m:val="p"/>
                </m:rPr>
                <w:rPr>
                  <w:rFonts w:ascii="Cambria Math" w:hAnsi="Cambria Math"/>
                  <w:sz w:val="20"/>
                  <w:szCs w:val="18"/>
                </w:rPr>
                <m:t>1</m:t>
              </m:r>
            </m:sub>
          </m:sSub>
          <m:r>
            <m:rPr>
              <m:sty m:val="p"/>
            </m:rPr>
            <w:rPr>
              <w:rFonts w:ascii="Cambria Math" w:hAnsi="Cambria Math"/>
              <w:sz w:val="20"/>
              <w:szCs w:val="18"/>
            </w:rPr>
            <m:t xml:space="preserve">* </m:t>
          </m:r>
          <m:sSub>
            <m:sSubPr>
              <m:ctrlPr>
                <w:rPr>
                  <w:rFonts w:ascii="Cambria Math" w:hAnsi="Cambria Math"/>
                  <w:sz w:val="20"/>
                  <w:szCs w:val="18"/>
                </w:rPr>
              </m:ctrlPr>
            </m:sSubPr>
            <m:e>
              <m:r>
                <m:rPr>
                  <m:sty m:val="p"/>
                </m:rPr>
                <w:rPr>
                  <w:rFonts w:ascii="Cambria Math" w:hAnsi="Cambria Math"/>
                  <w:sz w:val="20"/>
                  <w:szCs w:val="18"/>
                </w:rPr>
                <m:t>Y</m:t>
              </m:r>
            </m:e>
            <m:sub>
              <m:r>
                <m:rPr>
                  <m:sty m:val="p"/>
                </m:rPr>
                <w:rPr>
                  <w:rFonts w:ascii="Cambria Math" w:hAnsi="Cambria Math"/>
                  <w:sz w:val="20"/>
                  <w:szCs w:val="18"/>
                </w:rPr>
                <m:t>t-1</m:t>
              </m:r>
            </m:sub>
          </m:sSub>
          <m:r>
            <m:rPr>
              <m:sty m:val="p"/>
            </m:rPr>
            <w:rPr>
              <w:rFonts w:ascii="Cambria Math" w:hAnsi="Cambria Math"/>
              <w:sz w:val="20"/>
              <w:szCs w:val="18"/>
            </w:rPr>
            <m:t>+</m:t>
          </m:r>
          <m:sSub>
            <m:sSubPr>
              <m:ctrlPr>
                <w:rPr>
                  <w:rFonts w:ascii="Cambria Math" w:hAnsi="Cambria Math"/>
                  <w:sz w:val="20"/>
                  <w:szCs w:val="18"/>
                </w:rPr>
              </m:ctrlPr>
            </m:sSubPr>
            <m:e>
              <m:r>
                <m:rPr>
                  <m:sty m:val="p"/>
                </m:rPr>
                <w:rPr>
                  <w:rFonts w:ascii="Cambria Math" w:hAnsi="Cambria Math"/>
                  <w:sz w:val="20"/>
                  <w:szCs w:val="18"/>
                </w:rPr>
                <m:t>β</m:t>
              </m:r>
            </m:e>
            <m:sub>
              <m:r>
                <m:rPr>
                  <m:sty m:val="p"/>
                </m:rPr>
                <w:rPr>
                  <w:rFonts w:ascii="Cambria Math" w:hAnsi="Cambria Math"/>
                  <w:sz w:val="20"/>
                  <w:szCs w:val="18"/>
                </w:rPr>
                <m:t>2</m:t>
              </m:r>
            </m:sub>
          </m:sSub>
          <m:r>
            <m:rPr>
              <m:sty m:val="p"/>
            </m:rPr>
            <w:rPr>
              <w:rFonts w:ascii="Cambria Math" w:hAnsi="Cambria Math"/>
              <w:sz w:val="20"/>
              <w:szCs w:val="18"/>
            </w:rPr>
            <m:t xml:space="preserve">* </m:t>
          </m:r>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Y</m:t>
              </m:r>
            </m:e>
            <m:sub>
              <m:r>
                <m:rPr>
                  <m:sty m:val="p"/>
                </m:rPr>
                <w:rPr>
                  <w:rFonts w:ascii="Cambria Math" w:eastAsiaTheme="minorEastAsia" w:hAnsi="Cambria Math"/>
                  <w:sz w:val="20"/>
                  <w:szCs w:val="18"/>
                </w:rPr>
                <m:t>t-2</m:t>
              </m:r>
            </m:sub>
          </m:sSub>
          <m:r>
            <m:rPr>
              <m:sty m:val="p"/>
            </m:rPr>
            <w:rPr>
              <w:rFonts w:ascii="Cambria Math" w:eastAsiaTheme="minorEastAsia" w:hAnsi="Cambria Math"/>
              <w:sz w:val="20"/>
              <w:szCs w:val="18"/>
            </w:rPr>
            <m:t>+</m:t>
          </m:r>
          <m:sSub>
            <m:sSubPr>
              <m:ctrlPr>
                <w:rPr>
                  <w:rFonts w:ascii="Cambria Math" w:eastAsiaTheme="minorEastAsia" w:hAnsi="Cambria Math"/>
                  <w:sz w:val="20"/>
                  <w:szCs w:val="18"/>
                </w:rPr>
              </m:ctrlPr>
            </m:sSubPr>
            <m:e>
              <m:r>
                <m:rPr>
                  <m:sty m:val="p"/>
                </m:rPr>
                <w:rPr>
                  <w:rFonts w:ascii="Cambria Math" w:eastAsiaTheme="minorEastAsia" w:hAnsi="Cambria Math"/>
                  <w:sz w:val="20"/>
                  <w:szCs w:val="18"/>
                </w:rPr>
                <m:t>∈</m:t>
              </m:r>
            </m:e>
            <m:sub>
              <m:r>
                <m:rPr>
                  <m:sty m:val="p"/>
                </m:rPr>
                <w:rPr>
                  <w:rFonts w:ascii="Cambria Math" w:eastAsiaTheme="minorEastAsia" w:hAnsi="Cambria Math"/>
                  <w:sz w:val="20"/>
                  <w:szCs w:val="18"/>
                </w:rPr>
                <m:t>t</m:t>
              </m:r>
            </m:sub>
          </m:sSub>
          <m:r>
            <w:rPr>
              <w:rFonts w:ascii="Cambria Math" w:hAnsi="Cambria Math"/>
              <w:sz w:val="20"/>
              <w:szCs w:val="20"/>
            </w:rPr>
            <m:t xml:space="preserve">    (5)</m:t>
          </m:r>
        </m:oMath>
      </m:oMathPara>
    </w:p>
    <w:p w:rsidR="00817A21" w:rsidRPr="00531165" w:rsidRDefault="00817A21" w:rsidP="00817A21">
      <w:pPr>
        <w:pStyle w:val="IETParagraph"/>
        <w:spacing w:line="240" w:lineRule="auto"/>
        <w:ind w:firstLine="0"/>
        <w:rPr>
          <w:sz w:val="20"/>
          <w:szCs w:val="20"/>
        </w:rPr>
      </w:pPr>
    </w:p>
    <w:p w:rsidR="00817A21" w:rsidRPr="00531165" w:rsidRDefault="00AE4C26" w:rsidP="00F00781">
      <w:pPr>
        <w:pStyle w:val="IETParagraph"/>
        <w:spacing w:line="240" w:lineRule="auto"/>
        <w:rPr>
          <w:sz w:val="20"/>
          <w:szCs w:val="20"/>
        </w:rPr>
      </w:pPr>
      <w:r w:rsidRPr="00531165">
        <w:rPr>
          <w:sz w:val="20"/>
          <w:szCs w:val="20"/>
        </w:rPr>
        <w:t xml:space="preserve">In (5), </w:t>
      </w:r>
      <w:r w:rsidRPr="00531165">
        <w:rPr>
          <w:rFonts w:eastAsiaTheme="minorEastAsia"/>
          <w:sz w:val="20"/>
          <w:szCs w:val="20"/>
        </w:rPr>
        <w:t>Y</w:t>
      </w:r>
      <w:r w:rsidRPr="00531165">
        <w:rPr>
          <w:rFonts w:eastAsiaTheme="minorEastAsia"/>
          <w:sz w:val="20"/>
          <w:szCs w:val="20"/>
          <w:vertAlign w:val="subscript"/>
        </w:rPr>
        <w:t>t</w:t>
      </w:r>
      <w:r w:rsidRPr="00531165">
        <w:rPr>
          <w:rFonts w:eastAsiaTheme="minorEastAsia"/>
          <w:sz w:val="20"/>
          <w:szCs w:val="20"/>
        </w:rPr>
        <w:t xml:space="preserve"> is the dependent variable (observed response), d is no. of Days, Y</w:t>
      </w:r>
      <w:r w:rsidRPr="00531165">
        <w:rPr>
          <w:rFonts w:eastAsiaTheme="minorEastAsia"/>
          <w:sz w:val="20"/>
          <w:szCs w:val="20"/>
          <w:vertAlign w:val="subscript"/>
        </w:rPr>
        <w:t>t-1</w:t>
      </w:r>
      <w:r w:rsidRPr="00531165">
        <w:rPr>
          <w:rFonts w:eastAsiaTheme="minorEastAsia"/>
          <w:sz w:val="20"/>
          <w:szCs w:val="20"/>
        </w:rPr>
        <w:t xml:space="preserve"> and Y</w:t>
      </w:r>
      <w:r w:rsidRPr="00531165">
        <w:rPr>
          <w:rFonts w:eastAsiaTheme="minorEastAsia"/>
          <w:sz w:val="20"/>
          <w:szCs w:val="20"/>
          <w:vertAlign w:val="subscript"/>
        </w:rPr>
        <w:t>t-2</w:t>
      </w:r>
      <w:r w:rsidRPr="00531165">
        <w:rPr>
          <w:rFonts w:eastAsiaTheme="minorEastAsia"/>
          <w:sz w:val="20"/>
          <w:szCs w:val="20"/>
        </w:rPr>
        <w:t xml:space="preserve"> are the independent variables,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t>
            </m:r>
          </m:e>
          <m:sub>
            <m:r>
              <m:rPr>
                <m:sty m:val="p"/>
              </m:rPr>
              <w:rPr>
                <w:rFonts w:ascii="Cambria Math" w:eastAsiaTheme="minorEastAsia" w:hAnsi="Cambria Math"/>
                <w:sz w:val="20"/>
                <w:szCs w:val="20"/>
              </w:rPr>
              <m:t>t</m:t>
            </m:r>
          </m:sub>
        </m:sSub>
      </m:oMath>
      <w:r w:rsidRPr="00531165">
        <w:rPr>
          <w:rFonts w:eastAsiaTheme="minorEastAsia"/>
          <w:sz w:val="20"/>
          <w:szCs w:val="20"/>
        </w:rPr>
        <w:t xml:space="preserve"> is the random disturbance, α</w:t>
      </w:r>
      <w:r w:rsidRPr="00531165">
        <w:rPr>
          <w:rFonts w:eastAsiaTheme="minorEastAsia"/>
          <w:sz w:val="20"/>
          <w:szCs w:val="20"/>
          <w:vertAlign w:val="subscript"/>
        </w:rPr>
        <w:t>0</w:t>
      </w:r>
      <w:r w:rsidRPr="00531165">
        <w:rPr>
          <w:rFonts w:eastAsiaTheme="minorEastAsia"/>
          <w:sz w:val="20"/>
          <w:szCs w:val="20"/>
        </w:rPr>
        <w:t>, β</w:t>
      </w:r>
      <w:r w:rsidRPr="00531165">
        <w:rPr>
          <w:rFonts w:eastAsiaTheme="minorEastAsia"/>
          <w:sz w:val="20"/>
          <w:szCs w:val="20"/>
          <w:vertAlign w:val="subscript"/>
        </w:rPr>
        <w:t>1</w:t>
      </w:r>
      <w:r w:rsidRPr="00531165">
        <w:rPr>
          <w:rFonts w:eastAsiaTheme="minorEastAsia"/>
          <w:sz w:val="20"/>
          <w:szCs w:val="20"/>
        </w:rPr>
        <w:t>, and β</w:t>
      </w:r>
      <w:r w:rsidRPr="00531165">
        <w:rPr>
          <w:rFonts w:eastAsiaTheme="minorEastAsia"/>
          <w:sz w:val="20"/>
          <w:szCs w:val="20"/>
          <w:vertAlign w:val="subscript"/>
        </w:rPr>
        <w:t>2</w:t>
      </w:r>
      <w:r w:rsidRPr="00531165">
        <w:rPr>
          <w:rFonts w:eastAsiaTheme="minorEastAsia"/>
          <w:sz w:val="20"/>
          <w:szCs w:val="20"/>
        </w:rPr>
        <w:t xml:space="preserve"> are regression coefficients.</w:t>
      </w:r>
    </w:p>
    <w:p w:rsidR="00C23BCB" w:rsidRPr="000F534A" w:rsidRDefault="00AE4C26" w:rsidP="00C23BCB">
      <w:pPr>
        <w:pStyle w:val="IETParagraph"/>
        <w:spacing w:line="240" w:lineRule="auto"/>
        <w:rPr>
          <w:sz w:val="20"/>
          <w:szCs w:val="20"/>
        </w:rPr>
      </w:pPr>
      <w:r w:rsidRPr="00054F1C">
        <w:rPr>
          <w:rFonts w:eastAsiaTheme="minorEastAsia"/>
          <w:sz w:val="20"/>
          <w:szCs w:val="18"/>
        </w:rPr>
        <w:t>Therefore, Y</w:t>
      </w:r>
      <w:r w:rsidRPr="00054F1C">
        <w:rPr>
          <w:rFonts w:eastAsiaTheme="minorEastAsia"/>
          <w:sz w:val="20"/>
          <w:szCs w:val="18"/>
          <w:vertAlign w:val="subscript"/>
        </w:rPr>
        <w:t>t-k</w:t>
      </w:r>
      <w:r w:rsidRPr="00054F1C">
        <w:rPr>
          <w:rFonts w:eastAsiaTheme="minorEastAsia"/>
          <w:sz w:val="20"/>
          <w:szCs w:val="18"/>
        </w:rPr>
        <w:t xml:space="preserve"> is the lagged values of the observed response variable Death</w:t>
      </w:r>
      <w:r w:rsidRPr="00054F1C">
        <w:rPr>
          <w:rFonts w:eastAsiaTheme="minorEastAsia"/>
          <w:sz w:val="20"/>
          <w:szCs w:val="18"/>
          <w:vertAlign w:val="subscript"/>
        </w:rPr>
        <w:t>t.</w:t>
      </w:r>
      <w:r w:rsidRPr="00054F1C">
        <w:rPr>
          <w:sz w:val="20"/>
          <w:szCs w:val="18"/>
        </w:rPr>
        <w:t xml:space="preserve"> The final LR-lag is given in (6).</w:t>
      </w:r>
    </w:p>
    <w:p w:rsidR="00C23BCB" w:rsidRPr="0098216B" w:rsidRDefault="00C23BCB" w:rsidP="00C23BCB">
      <w:pPr>
        <w:pStyle w:val="IETParagraph"/>
        <w:spacing w:line="240" w:lineRule="auto"/>
        <w:rPr>
          <w:sz w:val="22"/>
          <w:szCs w:val="20"/>
        </w:rPr>
      </w:pPr>
    </w:p>
    <w:p w:rsidR="00054F1C" w:rsidRPr="00C9069D" w:rsidRDefault="00E80A5E" w:rsidP="0088275D">
      <w:pPr>
        <w:pStyle w:val="IETParagraph"/>
        <w:spacing w:line="240" w:lineRule="auto"/>
        <w:ind w:firstLine="0"/>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Y</m:t>
              </m:r>
            </m:e>
            <m:sub>
              <m:r>
                <m:rPr>
                  <m:sty m:val="p"/>
                </m:rPr>
                <w:rPr>
                  <w:rFonts w:ascii="Cambria Math" w:hAnsi="Cambria Math"/>
                  <w:sz w:val="20"/>
                  <w:szCs w:val="20"/>
                </w:rPr>
                <m:t>t</m:t>
              </m:r>
            </m:sub>
          </m:sSub>
          <m:r>
            <m:rPr>
              <m:sty m:val="p"/>
            </m:rPr>
            <w:rPr>
              <w:rFonts w:ascii="Cambria Math" w:hAnsi="Cambria Math"/>
              <w:sz w:val="20"/>
              <w:szCs w:val="20"/>
            </w:rPr>
            <m:t xml:space="preserve">=25.7908*Day+0.3645* </m:t>
          </m:r>
          <m:sSub>
            <m:sSubPr>
              <m:ctrlPr>
                <w:rPr>
                  <w:rFonts w:ascii="Cambria Math" w:hAnsi="Cambria Math"/>
                  <w:sz w:val="20"/>
                  <w:szCs w:val="20"/>
                </w:rPr>
              </m:ctrlPr>
            </m:sSubPr>
            <m:e>
              <m:r>
                <m:rPr>
                  <m:sty m:val="p"/>
                </m:rPr>
                <w:rPr>
                  <w:rFonts w:ascii="Cambria Math" w:hAnsi="Cambria Math"/>
                  <w:sz w:val="20"/>
                  <w:szCs w:val="20"/>
                </w:rPr>
                <m:t>Y</m:t>
              </m:r>
            </m:e>
            <m:sub>
              <m:r>
                <m:rPr>
                  <m:sty m:val="p"/>
                </m:rPr>
                <w:rPr>
                  <w:rFonts w:ascii="Cambria Math" w:hAnsi="Cambria Math"/>
                  <w:sz w:val="20"/>
                  <w:szCs w:val="20"/>
                </w:rPr>
                <m:t>t-1</m:t>
              </m:r>
            </m:sub>
          </m:sSub>
          <m:r>
            <m:rPr>
              <m:sty m:val="p"/>
            </m:rPr>
            <w:rPr>
              <w:rFonts w:ascii="Cambria Math" w:hAnsi="Cambria Math"/>
              <w:sz w:val="20"/>
              <w:szCs w:val="20"/>
            </w:rPr>
            <m:t xml:space="preserve">+0.3451* </m:t>
          </m:r>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Y</m:t>
              </m:r>
            </m:e>
            <m:sub>
              <m:r>
                <m:rPr>
                  <m:sty m:val="p"/>
                </m:rPr>
                <w:rPr>
                  <w:rFonts w:ascii="Cambria Math" w:eastAsiaTheme="minorEastAsia" w:hAnsi="Cambria Math"/>
                  <w:sz w:val="20"/>
                  <w:szCs w:val="20"/>
                </w:rPr>
                <m:t>t-2</m:t>
              </m:r>
            </m:sub>
          </m:sSub>
          <m:r>
            <m:rPr>
              <m:sty m:val="p"/>
            </m:rPr>
            <w:rPr>
              <w:rFonts w:ascii="Cambria Math" w:eastAsiaTheme="minorEastAsia" w:hAnsi="Cambria Math"/>
              <w:sz w:val="20"/>
              <w:szCs w:val="20"/>
            </w:rPr>
            <m:t xml:space="preserve">-162.996     </m:t>
          </m:r>
          <m:r>
            <w:rPr>
              <w:rFonts w:ascii="Cambria Math" w:hAnsi="Cambria Math"/>
              <w:sz w:val="20"/>
              <w:szCs w:val="20"/>
            </w:rPr>
            <m:t xml:space="preserve">                                       (6)</m:t>
          </m:r>
        </m:oMath>
      </m:oMathPara>
    </w:p>
    <w:p w:rsidR="00C9069D" w:rsidRPr="0088275D" w:rsidRDefault="00C9069D" w:rsidP="0088275D">
      <w:pPr>
        <w:pStyle w:val="IETParagraph"/>
        <w:spacing w:line="240" w:lineRule="auto"/>
        <w:ind w:firstLine="0"/>
        <w:rPr>
          <w:sz w:val="20"/>
          <w:szCs w:val="20"/>
        </w:rPr>
      </w:pPr>
    </w:p>
    <w:p w:rsidR="008B023F" w:rsidRPr="006C50F1" w:rsidRDefault="00AE4C26" w:rsidP="00144046">
      <w:pPr>
        <w:pStyle w:val="IETHeading1"/>
        <w:numPr>
          <w:ilvl w:val="0"/>
          <w:numId w:val="2"/>
        </w:numPr>
        <w:rPr>
          <w:rFonts w:ascii="Times New Roman" w:hAnsi="Times New Roman" w:cs="Times New Roman"/>
          <w:sz w:val="20"/>
          <w:szCs w:val="20"/>
        </w:rPr>
      </w:pPr>
      <w:r w:rsidRPr="004A6642">
        <w:rPr>
          <w:rStyle w:val="Strong"/>
          <w:b/>
          <w:sz w:val="20"/>
          <w:szCs w:val="20"/>
        </w:rPr>
        <w:t>Results and Discussion</w:t>
      </w:r>
    </w:p>
    <w:p w:rsidR="00C80788" w:rsidRPr="000F534A" w:rsidRDefault="00AE4C26" w:rsidP="00C80788">
      <w:pPr>
        <w:pStyle w:val="IETParagraph"/>
        <w:spacing w:line="240" w:lineRule="auto"/>
        <w:rPr>
          <w:sz w:val="20"/>
          <w:szCs w:val="20"/>
        </w:rPr>
      </w:pPr>
      <w:r w:rsidRPr="00140D6B">
        <w:rPr>
          <w:sz w:val="20"/>
          <w:szCs w:val="20"/>
        </w:rPr>
        <w:t xml:space="preserve">The </w:t>
      </w:r>
      <w:r>
        <w:rPr>
          <w:sz w:val="20"/>
          <w:szCs w:val="20"/>
        </w:rPr>
        <w:t>M</w:t>
      </w:r>
      <w:r w:rsidRPr="00140D6B">
        <w:rPr>
          <w:sz w:val="20"/>
          <w:szCs w:val="20"/>
        </w:rPr>
        <w:t xml:space="preserve">ortality </w:t>
      </w:r>
      <w:r>
        <w:rPr>
          <w:sz w:val="20"/>
          <w:szCs w:val="20"/>
        </w:rPr>
        <w:t>R</w:t>
      </w:r>
      <w:r w:rsidRPr="00140D6B">
        <w:rPr>
          <w:sz w:val="20"/>
          <w:szCs w:val="20"/>
        </w:rPr>
        <w:t>ate</w:t>
      </w:r>
      <w:r>
        <w:rPr>
          <w:sz w:val="20"/>
          <w:szCs w:val="20"/>
        </w:rPr>
        <w:t xml:space="preserve"> (</w:t>
      </w:r>
      <w:r w:rsidRPr="00DE6298">
        <w:rPr>
          <w:b/>
          <w:sz w:val="20"/>
          <w:szCs w:val="20"/>
        </w:rPr>
        <w:t>M</w:t>
      </w:r>
      <w:r w:rsidRPr="00DE6298">
        <w:rPr>
          <w:b/>
          <w:sz w:val="20"/>
          <w:szCs w:val="20"/>
          <w:vertAlign w:val="subscript"/>
        </w:rPr>
        <w:t>R</w:t>
      </w:r>
      <w:r>
        <w:rPr>
          <w:sz w:val="20"/>
          <w:szCs w:val="20"/>
        </w:rPr>
        <w:t>) or the Death Ratio (</w:t>
      </w:r>
      <w:r w:rsidRPr="00DE6298">
        <w:rPr>
          <w:b/>
          <w:sz w:val="20"/>
          <w:szCs w:val="20"/>
        </w:rPr>
        <w:t>D</w:t>
      </w:r>
      <w:r w:rsidRPr="00DE6298">
        <w:rPr>
          <w:b/>
          <w:sz w:val="20"/>
          <w:szCs w:val="20"/>
          <w:vertAlign w:val="subscript"/>
        </w:rPr>
        <w:t>R</w:t>
      </w:r>
      <w:r>
        <w:rPr>
          <w:sz w:val="20"/>
          <w:szCs w:val="20"/>
        </w:rPr>
        <w:t>)due to</w:t>
      </w:r>
      <w:r w:rsidRPr="00140D6B">
        <w:rPr>
          <w:sz w:val="20"/>
          <w:szCs w:val="20"/>
        </w:rPr>
        <w:t xml:space="preserve"> the nCoV-2019</w:t>
      </w:r>
      <w:r>
        <w:rPr>
          <w:sz w:val="20"/>
          <w:szCs w:val="20"/>
        </w:rPr>
        <w:t xml:space="preserve"> outbreak</w:t>
      </w:r>
      <w:r w:rsidRPr="00140D6B">
        <w:rPr>
          <w:sz w:val="20"/>
          <w:szCs w:val="20"/>
        </w:rPr>
        <w:t xml:space="preserve"> is a measure of significant human casualties in a given period,</w:t>
      </w:r>
      <w:r>
        <w:rPr>
          <w:sz w:val="20"/>
          <w:szCs w:val="20"/>
        </w:rPr>
        <w:t xml:space="preserve"> i.e.,</w:t>
      </w:r>
      <w:r w:rsidRPr="00140D6B">
        <w:rPr>
          <w:sz w:val="20"/>
          <w:szCs w:val="20"/>
        </w:rPr>
        <w:t xml:space="preserve"> 21</w:t>
      </w:r>
      <w:r w:rsidRPr="00DE6298">
        <w:rPr>
          <w:sz w:val="20"/>
          <w:szCs w:val="20"/>
          <w:vertAlign w:val="superscript"/>
        </w:rPr>
        <w:t>st</w:t>
      </w:r>
      <w:r w:rsidRPr="00140D6B">
        <w:rPr>
          <w:sz w:val="20"/>
          <w:szCs w:val="20"/>
        </w:rPr>
        <w:t xml:space="preserve"> January - 29</w:t>
      </w:r>
      <w:r w:rsidRPr="00DE6298">
        <w:rPr>
          <w:sz w:val="20"/>
          <w:szCs w:val="20"/>
          <w:vertAlign w:val="superscript"/>
        </w:rPr>
        <w:t>th</w:t>
      </w:r>
      <w:r w:rsidRPr="00140D6B">
        <w:rPr>
          <w:sz w:val="20"/>
          <w:szCs w:val="20"/>
        </w:rPr>
        <w:t xml:space="preserve"> February 2020. The Death Ratio (D</w:t>
      </w:r>
      <w:r w:rsidRPr="00DE6298">
        <w:rPr>
          <w:sz w:val="20"/>
          <w:szCs w:val="20"/>
          <w:vertAlign w:val="subscript"/>
        </w:rPr>
        <w:t>R</w:t>
      </w:r>
      <w:r w:rsidRPr="00140D6B">
        <w:rPr>
          <w:sz w:val="20"/>
          <w:szCs w:val="20"/>
        </w:rPr>
        <w:t>), also known as Fatality Rate (</w:t>
      </w:r>
      <w:r w:rsidRPr="00DE6298">
        <w:rPr>
          <w:b/>
          <w:sz w:val="20"/>
          <w:szCs w:val="20"/>
        </w:rPr>
        <w:t>F</w:t>
      </w:r>
      <w:r w:rsidRPr="00DE6298">
        <w:rPr>
          <w:b/>
          <w:sz w:val="20"/>
          <w:szCs w:val="20"/>
          <w:vertAlign w:val="subscript"/>
        </w:rPr>
        <w:t>R</w:t>
      </w:r>
      <w:r w:rsidRPr="00140D6B">
        <w:rPr>
          <w:sz w:val="20"/>
          <w:szCs w:val="20"/>
        </w:rPr>
        <w:t xml:space="preserve">), is </w:t>
      </w:r>
      <w:r>
        <w:rPr>
          <w:sz w:val="20"/>
          <w:szCs w:val="20"/>
        </w:rPr>
        <w:t xml:space="preserve">quantified as </w:t>
      </w:r>
      <w:r w:rsidRPr="00140D6B">
        <w:rPr>
          <w:sz w:val="20"/>
          <w:szCs w:val="20"/>
        </w:rPr>
        <w:t>a fraction of people who died out of effected people in Chinese provinces.</w:t>
      </w:r>
      <w:r>
        <w:rPr>
          <w:sz w:val="20"/>
          <w:szCs w:val="20"/>
        </w:rPr>
        <w:t xml:space="preserve"> Consequently</w:t>
      </w:r>
      <w:r w:rsidRPr="00140D6B">
        <w:rPr>
          <w:sz w:val="20"/>
          <w:szCs w:val="20"/>
        </w:rPr>
        <w:t xml:space="preserve">, we developed a feature, namely, mean </w:t>
      </w:r>
      <w:r>
        <w:rPr>
          <w:sz w:val="20"/>
          <w:szCs w:val="20"/>
        </w:rPr>
        <w:t>D</w:t>
      </w:r>
      <w:r w:rsidRPr="00DE6298">
        <w:rPr>
          <w:sz w:val="20"/>
          <w:szCs w:val="20"/>
          <w:vertAlign w:val="subscript"/>
        </w:rPr>
        <w:t>R</w:t>
      </w:r>
      <w:r>
        <w:rPr>
          <w:sz w:val="20"/>
          <w:szCs w:val="20"/>
        </w:rPr>
        <w:t xml:space="preserve"> represented as</w:t>
      </w:r>
      <m:oMath>
        <m:acc>
          <m:accPr>
            <m:chr m:val="̅"/>
            <m:ctrlPr>
              <w:rPr>
                <w:rFonts w:ascii="Cambria Math" w:hAnsi="Cambria Math"/>
                <w:b/>
                <w:i/>
                <w:sz w:val="20"/>
                <w:szCs w:val="20"/>
              </w:rPr>
            </m:ctrlPr>
          </m:accPr>
          <m:e>
            <m:sSub>
              <m:sSubPr>
                <m:ctrlPr>
                  <w:rPr>
                    <w:rFonts w:ascii="Cambria Math" w:hAnsi="Cambria Math"/>
                    <w:b/>
                    <w:i/>
                    <w:sz w:val="20"/>
                    <w:szCs w:val="20"/>
                  </w:rPr>
                </m:ctrlPr>
              </m:sSubPr>
              <m:e>
                <m:r>
                  <m:rPr>
                    <m:sty m:val="bi"/>
                  </m:rPr>
                  <w:rPr>
                    <w:rFonts w:ascii="Cambria Math" w:hAnsi="Cambria Math"/>
                    <w:sz w:val="20"/>
                    <w:szCs w:val="20"/>
                  </w:rPr>
                  <m:t>D</m:t>
                </m:r>
              </m:e>
              <m:sub>
                <m:r>
                  <m:rPr>
                    <m:sty m:val="bi"/>
                  </m:rPr>
                  <w:rPr>
                    <w:rFonts w:ascii="Cambria Math" w:hAnsi="Cambria Math"/>
                    <w:sz w:val="20"/>
                    <w:szCs w:val="20"/>
                  </w:rPr>
                  <m:t>R</m:t>
                </m:r>
              </m:sub>
            </m:sSub>
          </m:e>
        </m:acc>
      </m:oMath>
      <w:r w:rsidRPr="00140D6B">
        <w:rPr>
          <w:sz w:val="20"/>
          <w:szCs w:val="20"/>
        </w:rPr>
        <w:t xml:space="preserve">, </w:t>
      </w:r>
      <w:r>
        <w:rPr>
          <w:sz w:val="20"/>
          <w:szCs w:val="20"/>
        </w:rPr>
        <w:t xml:space="preserve">is </w:t>
      </w:r>
      <w:r w:rsidRPr="00140D6B">
        <w:rPr>
          <w:sz w:val="20"/>
          <w:szCs w:val="20"/>
        </w:rPr>
        <w:t>the average D</w:t>
      </w:r>
      <w:r w:rsidRPr="00DE6298">
        <w:rPr>
          <w:sz w:val="20"/>
          <w:szCs w:val="20"/>
          <w:vertAlign w:val="subscript"/>
        </w:rPr>
        <w:t>R</w:t>
      </w:r>
      <w:r w:rsidRPr="00140D6B">
        <w:rPr>
          <w:sz w:val="20"/>
          <w:szCs w:val="20"/>
        </w:rPr>
        <w:t xml:space="preserve">of </w:t>
      </w:r>
      <w:r>
        <w:rPr>
          <w:sz w:val="20"/>
          <w:szCs w:val="20"/>
        </w:rPr>
        <w:t xml:space="preserve">our considered timeline of </w:t>
      </w:r>
      <w:r w:rsidRPr="00140D6B">
        <w:rPr>
          <w:sz w:val="20"/>
          <w:szCs w:val="20"/>
        </w:rPr>
        <w:t>40 no. of days. The D</w:t>
      </w:r>
      <w:r w:rsidRPr="00DE6298">
        <w:rPr>
          <w:sz w:val="20"/>
          <w:szCs w:val="20"/>
          <w:vertAlign w:val="subscript"/>
        </w:rPr>
        <w:t>R</w:t>
      </w:r>
      <w:r w:rsidRPr="00140D6B">
        <w:rPr>
          <w:sz w:val="20"/>
          <w:szCs w:val="20"/>
        </w:rPr>
        <w:t xml:space="preserve"> is given in (7). By using (7), we derived</w:t>
      </w:r>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R</m:t>
                </m:r>
              </m:sub>
            </m:sSub>
          </m:e>
        </m:acc>
      </m:oMath>
      <w:r w:rsidRPr="00140D6B">
        <w:rPr>
          <w:sz w:val="20"/>
          <w:szCs w:val="20"/>
        </w:rPr>
        <w:t>, defined in (8).</w:t>
      </w:r>
    </w:p>
    <w:p w:rsidR="00C80788" w:rsidRDefault="00C80788" w:rsidP="00C80788">
      <w:pPr>
        <w:pStyle w:val="IETParagraph"/>
        <w:spacing w:line="240" w:lineRule="auto"/>
        <w:rPr>
          <w:sz w:val="20"/>
          <w:szCs w:val="20"/>
        </w:rPr>
      </w:pPr>
    </w:p>
    <w:p w:rsidR="00C80788" w:rsidRPr="002E7F46" w:rsidRDefault="00E80A5E" w:rsidP="00C80788">
      <w:pPr>
        <w:pStyle w:val="IETParagraph"/>
        <w:spacing w:line="240" w:lineRule="auto"/>
        <w:ind w:firstLine="0"/>
        <w:rPr>
          <w:sz w:val="20"/>
          <w:szCs w:val="20"/>
        </w:rPr>
      </w:pPr>
      <m:oMathPara>
        <m:oMath>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R</m:t>
              </m:r>
            </m:sub>
          </m:sSub>
          <m:r>
            <m:rPr>
              <m:sty m:val="p"/>
            </m:rPr>
            <w:rPr>
              <w:rFonts w:ascii="Cambria Math" w:hAnsi="Cambria Math"/>
              <w:sz w:val="18"/>
              <w:szCs w:val="18"/>
            </w:rPr>
            <m:t xml:space="preserve">= </m:t>
          </m:r>
          <m:d>
            <m:dPr>
              <m:begChr m:val="⌈"/>
              <m:endChr m:val="⌉"/>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No. of Deaths</m:t>
                  </m:r>
                </m:num>
                <m:den>
                  <m:r>
                    <m:rPr>
                      <m:sty m:val="p"/>
                    </m:rPr>
                    <w:rPr>
                      <w:rFonts w:ascii="Cambria Math" w:hAnsi="Cambria Math"/>
                      <w:sz w:val="18"/>
                      <w:szCs w:val="18"/>
                    </w:rPr>
                    <m:t>No. of Effected</m:t>
                  </m:r>
                </m:den>
              </m:f>
            </m:e>
          </m:d>
          <m:r>
            <w:rPr>
              <w:rFonts w:ascii="Cambria Math" w:hAnsi="Cambria Math"/>
              <w:sz w:val="20"/>
              <w:szCs w:val="20"/>
            </w:rPr>
            <m:t>*100        (7)</m:t>
          </m:r>
        </m:oMath>
      </m:oMathPara>
    </w:p>
    <w:p w:rsidR="002E7F46" w:rsidRDefault="002E7F46" w:rsidP="002E7F46">
      <w:pPr>
        <w:pStyle w:val="IETParagraph"/>
        <w:spacing w:line="240" w:lineRule="auto"/>
        <w:rPr>
          <w:sz w:val="20"/>
          <w:szCs w:val="20"/>
        </w:rPr>
      </w:pPr>
    </w:p>
    <w:p w:rsidR="002E7F46" w:rsidRDefault="00E80A5E" w:rsidP="002E7F46">
      <w:pPr>
        <w:pStyle w:val="IETParagraph"/>
        <w:spacing w:line="240" w:lineRule="auto"/>
        <w:ind w:firstLine="0"/>
        <w:rPr>
          <w:sz w:val="20"/>
          <w:szCs w:val="20"/>
        </w:rPr>
      </w:pPr>
      <m:oMathPara>
        <m:oMath>
          <m:acc>
            <m:accPr>
              <m:chr m:val="̅"/>
              <m:ctrlPr>
                <w:rPr>
                  <w:rFonts w:ascii="Cambria Math" w:hAnsi="Cambria Math"/>
                  <w:i/>
                  <w:sz w:val="18"/>
                  <w:szCs w:val="18"/>
                </w:rPr>
              </m:ctrlPr>
            </m:accP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R</m:t>
                  </m:r>
                </m:sub>
              </m:sSub>
            </m:e>
          </m:acc>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R</m:t>
                  </m:r>
                </m:sub>
              </m:sSub>
            </m:num>
            <m:den>
              <m:r>
                <w:rPr>
                  <w:rFonts w:ascii="Cambria Math" w:hAnsi="Cambria Math"/>
                  <w:sz w:val="18"/>
                  <w:szCs w:val="18"/>
                </w:rPr>
                <m:t>N</m:t>
              </m:r>
            </m:den>
          </m:f>
          <m:r>
            <w:rPr>
              <w:rFonts w:ascii="Cambria Math" w:hAnsi="Cambria Math"/>
              <w:sz w:val="20"/>
              <w:szCs w:val="20"/>
            </w:rPr>
            <m:t xml:space="preserve">                    (8)</m:t>
          </m:r>
        </m:oMath>
      </m:oMathPara>
    </w:p>
    <w:p w:rsidR="002E7F46" w:rsidRPr="0000141F" w:rsidRDefault="002E7F46" w:rsidP="0000141F">
      <w:pPr>
        <w:pStyle w:val="IETParagraph"/>
        <w:spacing w:line="240" w:lineRule="auto"/>
        <w:rPr>
          <w:sz w:val="20"/>
          <w:szCs w:val="20"/>
        </w:rPr>
      </w:pPr>
    </w:p>
    <w:p w:rsidR="00841105" w:rsidRDefault="00AE4C26" w:rsidP="0000141F">
      <w:pPr>
        <w:pStyle w:val="IETParagraph"/>
        <w:spacing w:line="240" w:lineRule="auto"/>
        <w:rPr>
          <w:rFonts w:eastAsiaTheme="minorEastAsia"/>
          <w:sz w:val="20"/>
          <w:szCs w:val="20"/>
        </w:rPr>
      </w:pPr>
      <w:r w:rsidRPr="0000141F">
        <w:rPr>
          <w:rFonts w:eastAsiaTheme="minorEastAsia"/>
          <w:sz w:val="20"/>
          <w:szCs w:val="20"/>
        </w:rPr>
        <w:t xml:space="preserve">In (8), N is the no. of samples. </w:t>
      </w:r>
    </w:p>
    <w:p w:rsidR="00841105" w:rsidRDefault="00841105" w:rsidP="0000141F">
      <w:pPr>
        <w:pStyle w:val="IETParagraph"/>
        <w:spacing w:line="240" w:lineRule="auto"/>
        <w:rPr>
          <w:rFonts w:eastAsiaTheme="minorEastAsia"/>
          <w:sz w:val="20"/>
          <w:szCs w:val="20"/>
        </w:rPr>
      </w:pPr>
    </w:p>
    <w:p w:rsidR="002E7F46" w:rsidRPr="0000141F" w:rsidRDefault="00AE4C26" w:rsidP="0000141F">
      <w:pPr>
        <w:pStyle w:val="IETParagraph"/>
        <w:spacing w:line="240" w:lineRule="auto"/>
        <w:rPr>
          <w:sz w:val="20"/>
          <w:szCs w:val="20"/>
        </w:rPr>
      </w:pPr>
      <w:r w:rsidRPr="003B5D68">
        <w:rPr>
          <w:sz w:val="20"/>
          <w:szCs w:val="20"/>
        </w:rPr>
        <w:t>The augmented samples labeled with two classes, class 1, consist of all samples having D</w:t>
      </w:r>
      <w:r w:rsidRPr="003B5D68">
        <w:rPr>
          <w:sz w:val="20"/>
          <w:szCs w:val="20"/>
          <w:vertAlign w:val="subscript"/>
        </w:rPr>
        <w:t>R</w:t>
      </w:r>
      <w:r w:rsidRPr="003B5D68">
        <w:rPr>
          <w:sz w:val="20"/>
          <w:szCs w:val="20"/>
        </w:rPr>
        <w:t xml:space="preserve"> greater or equal to</w:t>
      </w:r>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R</m:t>
                </m:r>
              </m:sub>
            </m:sSub>
          </m:e>
        </m:acc>
      </m:oMath>
      <w:r w:rsidRPr="003104F5">
        <w:rPr>
          <w:sz w:val="20"/>
          <w:szCs w:val="20"/>
        </w:rPr>
        <w:t>,</w:t>
      </w:r>
      <w:r w:rsidRPr="003B5D68">
        <w:rPr>
          <w:sz w:val="20"/>
          <w:szCs w:val="20"/>
        </w:rPr>
        <w:t xml:space="preserve"> and the remaining samples labeled as class 0.</w:t>
      </w:r>
      <w:r w:rsidRPr="003104F5">
        <w:rPr>
          <w:rFonts w:eastAsiaTheme="minorHAnsi"/>
          <w:sz w:val="20"/>
          <w:szCs w:val="20"/>
        </w:rPr>
        <w:t xml:space="preserve">The class labeling strategy is </w:t>
      </w:r>
      <w:r>
        <w:rPr>
          <w:sz w:val="20"/>
          <w:szCs w:val="20"/>
        </w:rPr>
        <w:t>given</w:t>
      </w:r>
      <w:r w:rsidRPr="003104F5">
        <w:rPr>
          <w:rFonts w:eastAsiaTheme="minorEastAsia"/>
          <w:sz w:val="20"/>
          <w:szCs w:val="20"/>
        </w:rPr>
        <w:t>in (9).</w:t>
      </w:r>
    </w:p>
    <w:p w:rsidR="00AE2E35" w:rsidRDefault="00AE2E35" w:rsidP="00AE2E35">
      <w:pPr>
        <w:pStyle w:val="IETParagraph"/>
        <w:spacing w:line="240" w:lineRule="auto"/>
        <w:rPr>
          <w:sz w:val="20"/>
          <w:szCs w:val="20"/>
        </w:rPr>
      </w:pPr>
    </w:p>
    <w:p w:rsidR="00AE2E35" w:rsidRPr="00F81289" w:rsidRDefault="00E80A5E" w:rsidP="00AE2E35">
      <w:pPr>
        <w:pStyle w:val="IETParagraph"/>
        <w:spacing w:line="240" w:lineRule="auto"/>
        <w:ind w:firstLine="0"/>
        <w:rPr>
          <w:sz w:val="20"/>
          <w:szCs w:val="20"/>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Label</m:t>
              </m:r>
            </m:e>
            <m:sub>
              <m:r>
                <m:rPr>
                  <m:sty m:val="p"/>
                </m:rPr>
                <w:rPr>
                  <w:rFonts w:ascii="Cambria Math" w:hAnsi="Cambria Math"/>
                  <w:sz w:val="18"/>
                  <w:szCs w:val="18"/>
                </w:rPr>
                <m:t>i</m:t>
              </m:r>
            </m:sub>
          </m:sSub>
          <m:r>
            <m:rPr>
              <m:sty m:val="p"/>
            </m:rPr>
            <w:rPr>
              <w:rFonts w:ascii="Cambria Math" w:hAnsi="Cambria Math"/>
              <w:sz w:val="18"/>
              <w:szCs w:val="18"/>
            </w:rPr>
            <m:t xml:space="preserve">= </m:t>
          </m:r>
          <m:d>
            <m:dPr>
              <m:begChr m:val="{"/>
              <m:endChr m:val=""/>
              <m:ctrlPr>
                <w:rPr>
                  <w:rFonts w:ascii="Cambria Math" w:hAnsi="Cambria Math"/>
                  <w:sz w:val="18"/>
                  <w:szCs w:val="18"/>
                </w:rPr>
              </m:ctrlPr>
            </m:dPr>
            <m:e>
              <m:eqArr>
                <m:eqArrPr>
                  <m:ctrlPr>
                    <w:rPr>
                      <w:rFonts w:ascii="Cambria Math" w:hAnsi="Cambria Math"/>
                      <w:sz w:val="18"/>
                      <w:szCs w:val="18"/>
                    </w:rPr>
                  </m:ctrlPr>
                </m:eqArrPr>
                <m:e>
                  <m:r>
                    <m:rPr>
                      <m:sty m:val="p"/>
                    </m:rPr>
                    <w:rPr>
                      <w:rFonts w:ascii="Cambria Math" w:hAnsi="Cambria Math"/>
                      <w:sz w:val="18"/>
                      <w:szCs w:val="18"/>
                    </w:rPr>
                    <m:t xml:space="preserve"> 1,  if</m:t>
                  </m:r>
                  <m:sSub>
                    <m:sSubPr>
                      <m:ctrlPr>
                        <w:rPr>
                          <w:rFonts w:ascii="Cambria Math" w:hAnsi="Cambria Math"/>
                          <w:sz w:val="18"/>
                          <w:szCs w:val="18"/>
                        </w:rPr>
                      </m:ctrlPr>
                    </m:sSubPr>
                    <m:e>
                      <m:r>
                        <m:rPr>
                          <m:sty m:val="p"/>
                        </m:rPr>
                        <w:rPr>
                          <w:rFonts w:ascii="Cambria Math" w:hAnsi="Cambria Math"/>
                          <w:sz w:val="18"/>
                          <w:szCs w:val="18"/>
                        </w:rPr>
                        <m:t xml:space="preserve"> D</m:t>
                      </m:r>
                    </m:e>
                    <m:sub>
                      <m:r>
                        <m:rPr>
                          <m:sty m:val="p"/>
                        </m:rPr>
                        <w:rPr>
                          <w:rFonts w:ascii="Cambria Math" w:hAnsi="Cambria Math"/>
                          <w:sz w:val="18"/>
                          <w:szCs w:val="18"/>
                        </w:rPr>
                        <m:t>R</m:t>
                      </m:r>
                    </m:sub>
                  </m:sSub>
                  <m:r>
                    <m:rPr>
                      <m:sty m:val="p"/>
                    </m:rPr>
                    <w:rPr>
                      <w:rFonts w:ascii="Cambria Math" w:hAnsi="Cambria Math"/>
                      <w:sz w:val="18"/>
                      <w:szCs w:val="18"/>
                    </w:rPr>
                    <m:t xml:space="preserve"> ≥ </m:t>
                  </m:r>
                  <m:acc>
                    <m:accPr>
                      <m:chr m:val="̅"/>
                      <m:ctrlPr>
                        <w:rPr>
                          <w:rFonts w:ascii="Cambria Math" w:hAnsi="Cambria Math"/>
                          <w:sz w:val="18"/>
                          <w:szCs w:val="18"/>
                        </w:rPr>
                      </m:ctrlPr>
                    </m:accPr>
                    <m:e>
                      <m:sSub>
                        <m:sSubPr>
                          <m:ctrlPr>
                            <w:rPr>
                              <w:rFonts w:ascii="Cambria Math" w:hAnsi="Cambria Math"/>
                              <w:sz w:val="18"/>
                              <w:szCs w:val="18"/>
                            </w:rPr>
                          </m:ctrlPr>
                        </m:sSubPr>
                        <m:e>
                          <m:r>
                            <m:rPr>
                              <m:sty m:val="p"/>
                            </m:rPr>
                            <w:rPr>
                              <w:rFonts w:ascii="Cambria Math" w:hAnsi="Cambria Math"/>
                              <w:sz w:val="18"/>
                              <w:szCs w:val="18"/>
                            </w:rPr>
                            <m:t>D</m:t>
                          </m:r>
                        </m:e>
                        <m:sub>
                          <m:r>
                            <m:rPr>
                              <m:sty m:val="p"/>
                            </m:rPr>
                            <w:rPr>
                              <w:rFonts w:ascii="Cambria Math" w:hAnsi="Cambria Math"/>
                              <w:sz w:val="18"/>
                              <w:szCs w:val="18"/>
                            </w:rPr>
                            <m:t>R</m:t>
                          </m:r>
                        </m:sub>
                      </m:sSub>
                    </m:e>
                  </m:acc>
                </m:e>
                <m:e>
                  <m:r>
                    <m:rPr>
                      <m:sty m:val="p"/>
                    </m:rPr>
                    <w:rPr>
                      <w:rFonts w:ascii="Cambria Math" w:hAnsi="Cambria Math"/>
                      <w:sz w:val="18"/>
                      <w:szCs w:val="18"/>
                    </w:rPr>
                    <m:t xml:space="preserve">0,  Otherwise </m:t>
                  </m:r>
                </m:e>
              </m:eqArr>
            </m:e>
          </m:d>
          <m:r>
            <w:rPr>
              <w:rFonts w:ascii="Cambria Math" w:hAnsi="Cambria Math"/>
              <w:sz w:val="20"/>
              <w:szCs w:val="20"/>
            </w:rPr>
            <m:t xml:space="preserve">       (9)</m:t>
          </m:r>
        </m:oMath>
      </m:oMathPara>
    </w:p>
    <w:p w:rsidR="00AE2E35" w:rsidRPr="009346D7" w:rsidRDefault="00AE2E35" w:rsidP="00AE2E35">
      <w:pPr>
        <w:pStyle w:val="IETParagraph"/>
        <w:spacing w:line="240" w:lineRule="auto"/>
        <w:rPr>
          <w:sz w:val="20"/>
          <w:szCs w:val="20"/>
        </w:rPr>
      </w:pPr>
    </w:p>
    <w:p w:rsidR="00AE2E35" w:rsidRPr="00B165A5" w:rsidRDefault="00AE4C26" w:rsidP="00AE2E35">
      <w:pPr>
        <w:pStyle w:val="IETParagraph"/>
        <w:spacing w:line="240" w:lineRule="auto"/>
        <w:rPr>
          <w:sz w:val="20"/>
          <w:szCs w:val="20"/>
        </w:rPr>
      </w:pPr>
      <w:r w:rsidRPr="009346D7">
        <w:rPr>
          <w:rFonts w:eastAsiaTheme="minorEastAsia"/>
          <w:sz w:val="20"/>
          <w:szCs w:val="20"/>
        </w:rPr>
        <w:t xml:space="preserve">In (9), </w:t>
      </w:r>
      <m:oMath>
        <m:sSub>
          <m:sSubPr>
            <m:ctrlPr>
              <w:rPr>
                <w:rFonts w:ascii="Cambria Math" w:hAnsi="Cambria Math"/>
                <w:sz w:val="20"/>
                <w:szCs w:val="20"/>
              </w:rPr>
            </m:ctrlPr>
          </m:sSubPr>
          <m:e>
            <m:r>
              <m:rPr>
                <m:sty m:val="p"/>
              </m:rPr>
              <w:rPr>
                <w:rFonts w:ascii="Cambria Math" w:hAnsi="Cambria Math"/>
                <w:sz w:val="20"/>
                <w:szCs w:val="20"/>
              </w:rPr>
              <m:t>Label</m:t>
            </m:r>
          </m:e>
          <m:sub>
            <m:r>
              <m:rPr>
                <m:sty m:val="p"/>
              </m:rPr>
              <w:rPr>
                <w:rFonts w:ascii="Cambria Math" w:hAnsi="Cambria Math"/>
                <w:sz w:val="20"/>
                <w:szCs w:val="20"/>
              </w:rPr>
              <m:t>i</m:t>
            </m:r>
          </m:sub>
        </m:sSub>
      </m:oMath>
      <w:r w:rsidRPr="009346D7">
        <w:rPr>
          <w:rFonts w:eastAsiaTheme="minorEastAsia"/>
          <w:sz w:val="20"/>
          <w:szCs w:val="20"/>
        </w:rPr>
        <w:t xml:space="preserve"> is the class label of the i</w:t>
      </w:r>
      <w:r w:rsidRPr="009346D7">
        <w:rPr>
          <w:rFonts w:eastAsiaTheme="minorEastAsia"/>
          <w:sz w:val="20"/>
          <w:szCs w:val="20"/>
          <w:vertAlign w:val="superscript"/>
        </w:rPr>
        <w:t>th</w:t>
      </w:r>
      <w:r w:rsidRPr="009346D7">
        <w:rPr>
          <w:rFonts w:eastAsiaTheme="minorEastAsia"/>
          <w:sz w:val="20"/>
          <w:szCs w:val="20"/>
        </w:rPr>
        <w:t xml:space="preserve"> instance, where i</w:t>
      </w:r>
      <w:r w:rsidRPr="009346D7">
        <w:rPr>
          <w:rStyle w:val="e24kjd"/>
          <w:rFonts w:ascii="Cambria Math" w:hAnsi="Cambria Math" w:cs="Cambria Math"/>
          <w:sz w:val="20"/>
          <w:szCs w:val="20"/>
        </w:rPr>
        <w:t>∈ [1, 40].</w:t>
      </w:r>
    </w:p>
    <w:p w:rsidR="008B023F" w:rsidRDefault="00AE4C26" w:rsidP="00F00781">
      <w:pPr>
        <w:pStyle w:val="IETParagraph"/>
        <w:spacing w:line="240" w:lineRule="auto"/>
        <w:rPr>
          <w:sz w:val="20"/>
          <w:szCs w:val="20"/>
        </w:rPr>
      </w:pPr>
      <w:r w:rsidRPr="00BF23F9">
        <w:rPr>
          <w:sz w:val="20"/>
          <w:szCs w:val="20"/>
        </w:rPr>
        <w:t>The entire dataset partitioned into a training set and test set in a proportion of 70:30. A subset of 28 no. of samples used to train RFM and MLP classifiers, this is critical as it enables these classifiers to identify a pattern, whereas the remaining 12 no. of samples used to create a test set to perform an impartial performance evaluation of classifiers. By employing the ten-fold cross-validation technique, we noted the RMSE values for default parametric values of [9-10] of [12], listed in Table 2.</w:t>
      </w:r>
    </w:p>
    <w:p w:rsidR="00A706FE" w:rsidRDefault="00AE4C26" w:rsidP="00A706FE">
      <w:pPr>
        <w:pStyle w:val="IETParagraph"/>
        <w:spacing w:line="240" w:lineRule="auto"/>
        <w:rPr>
          <w:sz w:val="20"/>
          <w:szCs w:val="20"/>
        </w:rPr>
      </w:pPr>
      <w:r w:rsidRPr="00F73FF5">
        <w:rPr>
          <w:sz w:val="20"/>
          <w:szCs w:val="20"/>
        </w:rPr>
        <w:t>We adjusted the parameter α of the RFM method and noted the RMSE values for each variation of α, and observed that the RMSE of RFM declines till α=40, after that it rises sharply with the increase in α.  Consequently, the lowest RMSE = 0.136 for 40 no. of subtrees, i.e., α = 40 achieved listed in Table 3 and shown in Fig. 3. Similarly, we adjusted the ƞ value of the MLP method and observed that the RMSE of MLP rises sharply by increasing the learning rate, i.e., ƞ, listed in Table 4, and shown in Fig. 4.Therefore, it is evident from Table 4 and Fig. 4 that as ƞ increases the divergence between actual casualties due to 2019-nCoV, and the estimated victims also increase. Thus, we considered the lowest RMSE = 0.3066 for ƞ = 0.01 for the MLP method. Additionally, a performance comparison between these two machine classifiers shows that the RFM method outperforms the MLP method, and become the best-fit component of our proposed CFPSD model.</w:t>
      </w:r>
    </w:p>
    <w:p w:rsidR="00A706FE" w:rsidRDefault="00A706FE" w:rsidP="00A706FE">
      <w:pPr>
        <w:pStyle w:val="IETParagraph"/>
        <w:spacing w:line="240" w:lineRule="auto"/>
        <w:rPr>
          <w:sz w:val="20"/>
          <w:szCs w:val="20"/>
        </w:rPr>
      </w:pPr>
    </w:p>
    <w:p w:rsidR="00A706FE" w:rsidRPr="0060273A" w:rsidRDefault="00A706FE" w:rsidP="00A706FE">
      <w:pPr>
        <w:jc w:val="both"/>
        <w:rPr>
          <w:rFonts w:eastAsiaTheme="minorEastAsia"/>
          <w:b/>
          <w:sz w:val="20"/>
          <w:szCs w:val="20"/>
        </w:rPr>
      </w:pPr>
      <w:r w:rsidRPr="0060273A">
        <w:rPr>
          <w:b/>
          <w:sz w:val="20"/>
          <w:szCs w:val="20"/>
        </w:rPr>
        <w:t>Table 2</w:t>
      </w:r>
      <w:r w:rsidRPr="0060273A">
        <w:rPr>
          <w:sz w:val="20"/>
          <w:szCs w:val="20"/>
        </w:rPr>
        <w:t xml:space="preserve"> RMSE of RFM and MLP</w:t>
      </w:r>
    </w:p>
    <w:tbl>
      <w:tblPr>
        <w:tblStyle w:val="TableGrid"/>
        <w:tblW w:w="4463"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2"/>
        <w:gridCol w:w="1155"/>
        <w:gridCol w:w="1906"/>
      </w:tblGrid>
      <w:tr w:rsidR="00A706FE" w:rsidTr="00C043DD">
        <w:trPr>
          <w:trHeight w:val="311"/>
        </w:trPr>
        <w:tc>
          <w:tcPr>
            <w:tcW w:w="1402" w:type="dxa"/>
            <w:tcBorders>
              <w:top w:val="single" w:sz="4" w:space="0" w:color="auto"/>
              <w:bottom w:val="single" w:sz="4" w:space="0" w:color="auto"/>
            </w:tcBorders>
            <w:vAlign w:val="center"/>
            <w:hideMark/>
          </w:tcPr>
          <w:p w:rsidR="00A706FE" w:rsidRPr="0060273A" w:rsidRDefault="00A706FE" w:rsidP="00C043DD">
            <w:pPr>
              <w:jc w:val="center"/>
              <w:rPr>
                <w:rFonts w:eastAsia="Times New Roman"/>
                <w:bCs/>
                <w:color w:val="000000"/>
                <w:sz w:val="20"/>
                <w:szCs w:val="20"/>
              </w:rPr>
            </w:pPr>
            <w:r w:rsidRPr="0060273A">
              <w:rPr>
                <w:rFonts w:eastAsia="Times New Roman"/>
                <w:bCs/>
                <w:color w:val="000000"/>
                <w:sz w:val="20"/>
                <w:szCs w:val="20"/>
              </w:rPr>
              <w:t>Serial no.</w:t>
            </w:r>
          </w:p>
        </w:tc>
        <w:tc>
          <w:tcPr>
            <w:tcW w:w="1155" w:type="dxa"/>
            <w:tcBorders>
              <w:top w:val="single" w:sz="4" w:space="0" w:color="auto"/>
              <w:bottom w:val="single" w:sz="4" w:space="0" w:color="auto"/>
            </w:tcBorders>
            <w:vAlign w:val="center"/>
          </w:tcPr>
          <w:p w:rsidR="00A706FE" w:rsidRPr="0060273A" w:rsidRDefault="00A706FE" w:rsidP="00C043DD">
            <w:pPr>
              <w:jc w:val="center"/>
              <w:rPr>
                <w:rFonts w:eastAsia="Times New Roman"/>
                <w:bCs/>
                <w:color w:val="000000"/>
                <w:sz w:val="20"/>
                <w:szCs w:val="20"/>
              </w:rPr>
            </w:pPr>
            <w:r w:rsidRPr="0060273A">
              <w:rPr>
                <w:rFonts w:eastAsia="Times New Roman"/>
                <w:bCs/>
                <w:color w:val="000000"/>
                <w:sz w:val="20"/>
                <w:szCs w:val="20"/>
              </w:rPr>
              <w:t>Method</w:t>
            </w:r>
          </w:p>
        </w:tc>
        <w:tc>
          <w:tcPr>
            <w:tcW w:w="1906" w:type="dxa"/>
            <w:tcBorders>
              <w:top w:val="single" w:sz="4" w:space="0" w:color="auto"/>
              <w:bottom w:val="single" w:sz="4" w:space="0" w:color="auto"/>
            </w:tcBorders>
            <w:vAlign w:val="center"/>
          </w:tcPr>
          <w:p w:rsidR="00A706FE" w:rsidRPr="0060273A" w:rsidRDefault="00A706FE" w:rsidP="00C043DD">
            <w:pPr>
              <w:jc w:val="center"/>
              <w:rPr>
                <w:rFonts w:eastAsia="Times New Roman"/>
                <w:bCs/>
                <w:color w:val="000000"/>
                <w:sz w:val="20"/>
                <w:szCs w:val="20"/>
              </w:rPr>
            </w:pPr>
            <w:r w:rsidRPr="0060273A">
              <w:rPr>
                <w:rFonts w:eastAsia="Times New Roman"/>
                <w:bCs/>
                <w:color w:val="000000"/>
                <w:sz w:val="20"/>
                <w:szCs w:val="20"/>
              </w:rPr>
              <w:t>RMSE</w:t>
            </w:r>
          </w:p>
        </w:tc>
      </w:tr>
      <w:tr w:rsidR="00A706FE" w:rsidTr="00C043DD">
        <w:trPr>
          <w:trHeight w:val="49"/>
        </w:trPr>
        <w:tc>
          <w:tcPr>
            <w:tcW w:w="1402" w:type="dxa"/>
            <w:tcBorders>
              <w:top w:val="single" w:sz="4" w:space="0" w:color="auto"/>
            </w:tcBorders>
            <w:vAlign w:val="center"/>
          </w:tcPr>
          <w:p w:rsidR="00A706FE" w:rsidRPr="0060273A" w:rsidRDefault="00A706FE" w:rsidP="00C043DD">
            <w:pPr>
              <w:contextualSpacing/>
              <w:jc w:val="center"/>
              <w:rPr>
                <w:rFonts w:eastAsia="Times New Roman"/>
                <w:bCs/>
                <w:color w:val="000000"/>
                <w:sz w:val="20"/>
                <w:szCs w:val="20"/>
              </w:rPr>
            </w:pPr>
          </w:p>
        </w:tc>
        <w:tc>
          <w:tcPr>
            <w:tcW w:w="1155" w:type="dxa"/>
            <w:tcBorders>
              <w:top w:val="single" w:sz="4" w:space="0" w:color="auto"/>
            </w:tcBorders>
            <w:vAlign w:val="center"/>
          </w:tcPr>
          <w:p w:rsidR="00A706FE" w:rsidRPr="0060273A" w:rsidRDefault="00A706FE" w:rsidP="00C043DD">
            <w:pPr>
              <w:contextualSpacing/>
              <w:jc w:val="center"/>
              <w:rPr>
                <w:rFonts w:eastAsia="Times New Roman"/>
                <w:color w:val="000000"/>
                <w:sz w:val="20"/>
                <w:szCs w:val="20"/>
              </w:rPr>
            </w:pPr>
          </w:p>
        </w:tc>
        <w:tc>
          <w:tcPr>
            <w:tcW w:w="1906" w:type="dxa"/>
            <w:tcBorders>
              <w:top w:val="single" w:sz="4" w:space="0" w:color="auto"/>
            </w:tcBorders>
            <w:vAlign w:val="center"/>
          </w:tcPr>
          <w:p w:rsidR="00A706FE" w:rsidRPr="0060273A" w:rsidRDefault="00A706FE" w:rsidP="00C043DD">
            <w:pPr>
              <w:contextualSpacing/>
              <w:jc w:val="center"/>
              <w:rPr>
                <w:rFonts w:eastAsia="Times New Roman"/>
                <w:color w:val="000000"/>
                <w:sz w:val="20"/>
                <w:szCs w:val="20"/>
              </w:rPr>
            </w:pPr>
          </w:p>
        </w:tc>
      </w:tr>
      <w:tr w:rsidR="00A706FE" w:rsidTr="00C043DD">
        <w:trPr>
          <w:trHeight w:val="270"/>
        </w:trPr>
        <w:tc>
          <w:tcPr>
            <w:tcW w:w="1402" w:type="dxa"/>
            <w:vAlign w:val="center"/>
            <w:hideMark/>
          </w:tcPr>
          <w:p w:rsidR="00A706FE" w:rsidRPr="0060273A" w:rsidRDefault="00A706FE" w:rsidP="00C043DD">
            <w:pPr>
              <w:contextualSpacing/>
              <w:jc w:val="center"/>
              <w:rPr>
                <w:rFonts w:eastAsia="Times New Roman"/>
                <w:bCs/>
                <w:color w:val="000000"/>
                <w:sz w:val="20"/>
                <w:szCs w:val="20"/>
              </w:rPr>
            </w:pPr>
            <w:r w:rsidRPr="0060273A">
              <w:rPr>
                <w:rFonts w:eastAsia="Times New Roman"/>
                <w:bCs/>
                <w:color w:val="000000"/>
                <w:sz w:val="20"/>
                <w:szCs w:val="20"/>
              </w:rPr>
              <w:t>1</w:t>
            </w:r>
          </w:p>
        </w:tc>
        <w:tc>
          <w:tcPr>
            <w:tcW w:w="1155" w:type="dxa"/>
            <w:vAlign w:val="center"/>
          </w:tcPr>
          <w:p w:rsidR="00A706FE" w:rsidRPr="0060273A" w:rsidRDefault="00A706FE" w:rsidP="00C043DD">
            <w:pPr>
              <w:contextualSpacing/>
              <w:jc w:val="center"/>
              <w:rPr>
                <w:rFonts w:eastAsia="Times New Roman"/>
                <w:color w:val="000000"/>
                <w:sz w:val="20"/>
                <w:szCs w:val="20"/>
              </w:rPr>
            </w:pPr>
            <w:r w:rsidRPr="0060273A">
              <w:rPr>
                <w:rFonts w:eastAsia="Times New Roman"/>
                <w:color w:val="000000"/>
                <w:sz w:val="20"/>
                <w:szCs w:val="20"/>
              </w:rPr>
              <w:t>RFM</w:t>
            </w:r>
          </w:p>
        </w:tc>
        <w:tc>
          <w:tcPr>
            <w:tcW w:w="1906" w:type="dxa"/>
            <w:vAlign w:val="center"/>
          </w:tcPr>
          <w:p w:rsidR="00A706FE" w:rsidRPr="0060273A" w:rsidRDefault="00A706FE" w:rsidP="00C043DD">
            <w:pPr>
              <w:contextualSpacing/>
              <w:jc w:val="center"/>
              <w:rPr>
                <w:rFonts w:eastAsia="Times New Roman"/>
                <w:color w:val="000000"/>
                <w:sz w:val="20"/>
                <w:szCs w:val="20"/>
              </w:rPr>
            </w:pPr>
            <w:r w:rsidRPr="0060273A">
              <w:rPr>
                <w:rFonts w:eastAsia="Times New Roman"/>
                <w:color w:val="000000"/>
                <w:sz w:val="20"/>
                <w:szCs w:val="20"/>
              </w:rPr>
              <w:t>0.1880</w:t>
            </w:r>
          </w:p>
        </w:tc>
      </w:tr>
      <w:tr w:rsidR="00A706FE" w:rsidTr="00C043DD">
        <w:trPr>
          <w:trHeight w:val="49"/>
        </w:trPr>
        <w:tc>
          <w:tcPr>
            <w:tcW w:w="1402" w:type="dxa"/>
            <w:vAlign w:val="center"/>
            <w:hideMark/>
          </w:tcPr>
          <w:p w:rsidR="00A706FE" w:rsidRPr="0060273A" w:rsidRDefault="00A706FE" w:rsidP="00C043DD">
            <w:pPr>
              <w:contextualSpacing/>
              <w:jc w:val="center"/>
              <w:rPr>
                <w:rFonts w:eastAsia="Times New Roman"/>
                <w:color w:val="000000"/>
                <w:sz w:val="20"/>
                <w:szCs w:val="20"/>
              </w:rPr>
            </w:pPr>
            <w:r w:rsidRPr="0060273A">
              <w:rPr>
                <w:rFonts w:eastAsia="Times New Roman"/>
                <w:color w:val="000000"/>
                <w:sz w:val="20"/>
                <w:szCs w:val="20"/>
              </w:rPr>
              <w:t>2</w:t>
            </w:r>
          </w:p>
        </w:tc>
        <w:tc>
          <w:tcPr>
            <w:tcW w:w="1155" w:type="dxa"/>
            <w:vAlign w:val="center"/>
          </w:tcPr>
          <w:p w:rsidR="00A706FE" w:rsidRPr="0060273A" w:rsidRDefault="00A706FE" w:rsidP="00C043DD">
            <w:pPr>
              <w:contextualSpacing/>
              <w:jc w:val="center"/>
              <w:rPr>
                <w:sz w:val="20"/>
                <w:szCs w:val="20"/>
              </w:rPr>
            </w:pPr>
            <w:r w:rsidRPr="0060273A">
              <w:rPr>
                <w:sz w:val="20"/>
                <w:szCs w:val="20"/>
              </w:rPr>
              <w:t>MLP</w:t>
            </w:r>
          </w:p>
        </w:tc>
        <w:tc>
          <w:tcPr>
            <w:tcW w:w="1906" w:type="dxa"/>
            <w:vAlign w:val="center"/>
          </w:tcPr>
          <w:p w:rsidR="00A706FE" w:rsidRPr="0060273A" w:rsidRDefault="00A706FE" w:rsidP="00C043DD">
            <w:pPr>
              <w:contextualSpacing/>
              <w:jc w:val="center"/>
              <w:rPr>
                <w:rFonts w:eastAsia="Times New Roman"/>
                <w:color w:val="000000"/>
                <w:sz w:val="20"/>
                <w:szCs w:val="20"/>
              </w:rPr>
            </w:pPr>
            <w:r w:rsidRPr="0060273A">
              <w:rPr>
                <w:rFonts w:eastAsia="Times New Roman"/>
                <w:color w:val="000000"/>
                <w:sz w:val="20"/>
                <w:szCs w:val="20"/>
              </w:rPr>
              <w:t>0.3274</w:t>
            </w:r>
          </w:p>
        </w:tc>
      </w:tr>
      <w:tr w:rsidR="00A706FE" w:rsidTr="00C043DD">
        <w:trPr>
          <w:trHeight w:val="49"/>
        </w:trPr>
        <w:tc>
          <w:tcPr>
            <w:tcW w:w="1402" w:type="dxa"/>
            <w:vAlign w:val="center"/>
          </w:tcPr>
          <w:p w:rsidR="00A706FE" w:rsidRPr="00447812" w:rsidRDefault="00A706FE" w:rsidP="00C043DD">
            <w:pPr>
              <w:contextualSpacing/>
              <w:jc w:val="center"/>
              <w:rPr>
                <w:rFonts w:eastAsia="Times New Roman"/>
                <w:color w:val="000000"/>
                <w:sz w:val="18"/>
                <w:szCs w:val="18"/>
              </w:rPr>
            </w:pPr>
          </w:p>
        </w:tc>
        <w:tc>
          <w:tcPr>
            <w:tcW w:w="1155" w:type="dxa"/>
            <w:vAlign w:val="center"/>
          </w:tcPr>
          <w:p w:rsidR="00A706FE" w:rsidRPr="00447812" w:rsidRDefault="00A706FE" w:rsidP="00C043DD">
            <w:pPr>
              <w:contextualSpacing/>
              <w:jc w:val="center"/>
              <w:rPr>
                <w:sz w:val="18"/>
                <w:szCs w:val="18"/>
              </w:rPr>
            </w:pPr>
          </w:p>
        </w:tc>
        <w:tc>
          <w:tcPr>
            <w:tcW w:w="1906" w:type="dxa"/>
            <w:vAlign w:val="center"/>
          </w:tcPr>
          <w:p w:rsidR="00A706FE" w:rsidRPr="00036453" w:rsidRDefault="00A706FE" w:rsidP="00C043DD">
            <w:pPr>
              <w:contextualSpacing/>
              <w:jc w:val="center"/>
              <w:rPr>
                <w:rFonts w:eastAsia="Times New Roman"/>
                <w:color w:val="000000"/>
                <w:sz w:val="18"/>
                <w:szCs w:val="18"/>
              </w:rPr>
            </w:pPr>
          </w:p>
        </w:tc>
      </w:tr>
    </w:tbl>
    <w:p w:rsidR="004737B4" w:rsidRDefault="004737B4" w:rsidP="004737B4">
      <w:pPr>
        <w:jc w:val="both"/>
        <w:rPr>
          <w:sz w:val="18"/>
          <w:szCs w:val="18"/>
        </w:rPr>
      </w:pPr>
    </w:p>
    <w:p w:rsidR="004737B4" w:rsidRPr="004737B4" w:rsidRDefault="00AE4C26" w:rsidP="004737B4">
      <w:pPr>
        <w:jc w:val="both"/>
        <w:rPr>
          <w:sz w:val="20"/>
          <w:szCs w:val="20"/>
        </w:rPr>
      </w:pPr>
      <w:r w:rsidRPr="004737B4">
        <w:rPr>
          <w:b/>
          <w:sz w:val="20"/>
          <w:szCs w:val="20"/>
        </w:rPr>
        <w:t>Table 3</w:t>
      </w:r>
      <w:r w:rsidRPr="004737B4">
        <w:rPr>
          <w:sz w:val="20"/>
          <w:szCs w:val="20"/>
        </w:rPr>
        <w:t xml:space="preserve"> Lowest RMSE obtained for </w:t>
      </w:r>
      <w:r w:rsidRPr="004737B4">
        <w:rPr>
          <w:color w:val="000000"/>
          <w:sz w:val="20"/>
          <w:szCs w:val="20"/>
        </w:rPr>
        <w:t xml:space="preserve">α </w:t>
      </w:r>
      <w:r w:rsidRPr="004737B4">
        <w:rPr>
          <w:sz w:val="20"/>
          <w:szCs w:val="20"/>
        </w:rPr>
        <w:t>= 40 of RFM</w:t>
      </w:r>
    </w:p>
    <w:tbl>
      <w:tblPr>
        <w:tblStyle w:val="TableGrid"/>
        <w:tblW w:w="4587"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4"/>
        <w:gridCol w:w="1673"/>
        <w:gridCol w:w="1540"/>
      </w:tblGrid>
      <w:tr w:rsidR="00C21FE7" w:rsidTr="00944A95">
        <w:trPr>
          <w:trHeight w:val="393"/>
        </w:trPr>
        <w:tc>
          <w:tcPr>
            <w:tcW w:w="0" w:type="dxa"/>
            <w:tcBorders>
              <w:top w:val="single" w:sz="4" w:space="0" w:color="auto"/>
              <w:bottom w:val="single" w:sz="4" w:space="0" w:color="auto"/>
            </w:tcBorders>
            <w:vAlign w:val="center"/>
          </w:tcPr>
          <w:p w:rsidR="004737B4" w:rsidRPr="004737B4" w:rsidRDefault="00AE4C26" w:rsidP="00D96B3D">
            <w:pPr>
              <w:tabs>
                <w:tab w:val="left" w:pos="690"/>
              </w:tabs>
              <w:jc w:val="center"/>
              <w:rPr>
                <w:rFonts w:eastAsia="Times New Roman"/>
                <w:bCs/>
                <w:color w:val="000000"/>
                <w:sz w:val="20"/>
                <w:szCs w:val="20"/>
              </w:rPr>
            </w:pPr>
            <w:r w:rsidRPr="004737B4">
              <w:rPr>
                <w:rFonts w:eastAsia="Times New Roman"/>
                <w:bCs/>
                <w:color w:val="000000"/>
                <w:sz w:val="20"/>
                <w:szCs w:val="20"/>
              </w:rPr>
              <w:t>Serial no.</w:t>
            </w:r>
          </w:p>
        </w:tc>
        <w:tc>
          <w:tcPr>
            <w:tcW w:w="0" w:type="dxa"/>
            <w:tcBorders>
              <w:top w:val="single" w:sz="4" w:space="0" w:color="auto"/>
              <w:bottom w:val="single" w:sz="4" w:space="0" w:color="auto"/>
            </w:tcBorders>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No. of trees(</w:t>
            </w:r>
            <w:r w:rsidRPr="004737B4">
              <w:rPr>
                <w:color w:val="000000"/>
                <w:sz w:val="20"/>
                <w:szCs w:val="20"/>
              </w:rPr>
              <w:t>α)</w:t>
            </w:r>
          </w:p>
        </w:tc>
        <w:tc>
          <w:tcPr>
            <w:tcW w:w="0" w:type="dxa"/>
            <w:tcBorders>
              <w:top w:val="single" w:sz="4" w:space="0" w:color="auto"/>
              <w:bottom w:val="single" w:sz="4" w:space="0" w:color="auto"/>
            </w:tcBorders>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RMSE</w:t>
            </w:r>
          </w:p>
        </w:tc>
      </w:tr>
      <w:tr w:rsidR="00C21FE7" w:rsidTr="00944A95">
        <w:trPr>
          <w:trHeight w:val="20"/>
        </w:trPr>
        <w:tc>
          <w:tcPr>
            <w:tcW w:w="0" w:type="dxa"/>
            <w:tcBorders>
              <w:top w:val="single" w:sz="4" w:space="0" w:color="auto"/>
            </w:tcBorders>
            <w:vAlign w:val="center"/>
          </w:tcPr>
          <w:p w:rsidR="00944A95" w:rsidRPr="004737B4" w:rsidRDefault="00944A95" w:rsidP="00D96B3D">
            <w:pPr>
              <w:jc w:val="center"/>
              <w:rPr>
                <w:rFonts w:eastAsia="Times New Roman"/>
                <w:color w:val="000000"/>
                <w:sz w:val="20"/>
                <w:szCs w:val="20"/>
              </w:rPr>
            </w:pPr>
          </w:p>
        </w:tc>
        <w:tc>
          <w:tcPr>
            <w:tcW w:w="0" w:type="dxa"/>
            <w:tcBorders>
              <w:top w:val="single" w:sz="4" w:space="0" w:color="auto"/>
            </w:tcBorders>
            <w:noWrap/>
            <w:vAlign w:val="center"/>
          </w:tcPr>
          <w:p w:rsidR="00944A95" w:rsidRPr="004737B4" w:rsidRDefault="00944A95" w:rsidP="00D96B3D">
            <w:pPr>
              <w:jc w:val="center"/>
              <w:rPr>
                <w:rFonts w:eastAsia="Times New Roman"/>
                <w:color w:val="000000"/>
                <w:sz w:val="20"/>
                <w:szCs w:val="20"/>
              </w:rPr>
            </w:pPr>
          </w:p>
        </w:tc>
        <w:tc>
          <w:tcPr>
            <w:tcW w:w="0" w:type="dxa"/>
            <w:tcBorders>
              <w:top w:val="single" w:sz="4" w:space="0" w:color="auto"/>
            </w:tcBorders>
            <w:noWrap/>
            <w:vAlign w:val="center"/>
          </w:tcPr>
          <w:p w:rsidR="00944A95" w:rsidRPr="004737B4" w:rsidRDefault="00944A95" w:rsidP="00D96B3D">
            <w:pPr>
              <w:jc w:val="center"/>
              <w:rPr>
                <w:rFonts w:eastAsia="Times New Roman"/>
                <w:color w:val="000000"/>
                <w:sz w:val="20"/>
                <w:szCs w:val="20"/>
              </w:rPr>
            </w:pP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0.3160</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2</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20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0.1900</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3</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30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0.1587</w:t>
            </w:r>
          </w:p>
        </w:tc>
      </w:tr>
      <w:tr w:rsidR="00C21FE7" w:rsidTr="00944A95">
        <w:trPr>
          <w:trHeight w:val="20"/>
        </w:trPr>
        <w:tc>
          <w:tcPr>
            <w:tcW w:w="0" w:type="dxa"/>
            <w:vAlign w:val="center"/>
          </w:tcPr>
          <w:p w:rsidR="004737B4" w:rsidRPr="004737B4" w:rsidRDefault="00AE4C26" w:rsidP="00D96B3D">
            <w:pPr>
              <w:jc w:val="center"/>
              <w:rPr>
                <w:rFonts w:eastAsia="Times New Roman"/>
                <w:b/>
                <w:i/>
                <w:color w:val="000000"/>
                <w:sz w:val="20"/>
                <w:szCs w:val="20"/>
              </w:rPr>
            </w:pPr>
            <w:r w:rsidRPr="004737B4">
              <w:rPr>
                <w:rFonts w:eastAsia="Times New Roman"/>
                <w:b/>
                <w:i/>
                <w:color w:val="000000"/>
                <w:sz w:val="20"/>
                <w:szCs w:val="20"/>
              </w:rPr>
              <w:t>4</w:t>
            </w:r>
          </w:p>
        </w:tc>
        <w:tc>
          <w:tcPr>
            <w:tcW w:w="0" w:type="dxa"/>
            <w:noWrap/>
            <w:vAlign w:val="center"/>
            <w:hideMark/>
          </w:tcPr>
          <w:p w:rsidR="004737B4" w:rsidRPr="004737B4" w:rsidRDefault="00AE4C26" w:rsidP="00D96B3D">
            <w:pPr>
              <w:jc w:val="center"/>
              <w:rPr>
                <w:rFonts w:eastAsia="Times New Roman"/>
                <w:b/>
                <w:i/>
                <w:color w:val="000000"/>
                <w:sz w:val="20"/>
                <w:szCs w:val="20"/>
              </w:rPr>
            </w:pPr>
            <w:r w:rsidRPr="004737B4">
              <w:rPr>
                <w:rFonts w:eastAsia="Times New Roman"/>
                <w:b/>
                <w:i/>
                <w:color w:val="000000"/>
                <w:sz w:val="20"/>
                <w:szCs w:val="20"/>
              </w:rPr>
              <w:t>40</w:t>
            </w:r>
          </w:p>
        </w:tc>
        <w:tc>
          <w:tcPr>
            <w:tcW w:w="0" w:type="dxa"/>
            <w:noWrap/>
            <w:vAlign w:val="center"/>
            <w:hideMark/>
          </w:tcPr>
          <w:p w:rsidR="004737B4" w:rsidRPr="004737B4" w:rsidRDefault="00AE4C26" w:rsidP="00D96B3D">
            <w:pPr>
              <w:jc w:val="center"/>
              <w:rPr>
                <w:rFonts w:eastAsia="Times New Roman"/>
                <w:b/>
                <w:i/>
                <w:color w:val="000000"/>
                <w:sz w:val="20"/>
                <w:szCs w:val="20"/>
              </w:rPr>
            </w:pPr>
            <w:r w:rsidRPr="004737B4">
              <w:rPr>
                <w:rFonts w:eastAsia="Times New Roman"/>
                <w:b/>
                <w:i/>
                <w:color w:val="000000"/>
                <w:sz w:val="20"/>
                <w:szCs w:val="20"/>
              </w:rPr>
              <w:t>0.1360</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5</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50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0.1408</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6</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60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0.1887</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7</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70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0.2023</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8</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80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0.1970</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9</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90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0.1907</w:t>
            </w:r>
          </w:p>
        </w:tc>
      </w:tr>
      <w:tr w:rsidR="00C21FE7" w:rsidTr="00944A95">
        <w:trPr>
          <w:trHeight w:val="2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0.1880</w:t>
            </w:r>
          </w:p>
        </w:tc>
      </w:tr>
      <w:tr w:rsidR="00C21FE7" w:rsidTr="00944A95">
        <w:trPr>
          <w:trHeight w:val="20"/>
        </w:trPr>
        <w:tc>
          <w:tcPr>
            <w:tcW w:w="0" w:type="dxa"/>
            <w:vAlign w:val="center"/>
          </w:tcPr>
          <w:p w:rsidR="00944A95" w:rsidRPr="004737B4" w:rsidRDefault="00944A95" w:rsidP="00D96B3D">
            <w:pPr>
              <w:jc w:val="center"/>
              <w:rPr>
                <w:rFonts w:eastAsia="Times New Roman"/>
                <w:color w:val="000000"/>
                <w:sz w:val="20"/>
                <w:szCs w:val="20"/>
              </w:rPr>
            </w:pPr>
          </w:p>
        </w:tc>
        <w:tc>
          <w:tcPr>
            <w:tcW w:w="0" w:type="dxa"/>
            <w:noWrap/>
            <w:vAlign w:val="center"/>
          </w:tcPr>
          <w:p w:rsidR="00944A95" w:rsidRPr="004737B4" w:rsidRDefault="00944A95" w:rsidP="00D96B3D">
            <w:pPr>
              <w:jc w:val="center"/>
              <w:rPr>
                <w:rFonts w:eastAsia="Times New Roman"/>
                <w:color w:val="000000"/>
                <w:sz w:val="20"/>
                <w:szCs w:val="20"/>
              </w:rPr>
            </w:pPr>
          </w:p>
        </w:tc>
        <w:tc>
          <w:tcPr>
            <w:tcW w:w="0" w:type="dxa"/>
            <w:noWrap/>
            <w:vAlign w:val="center"/>
          </w:tcPr>
          <w:p w:rsidR="00944A95" w:rsidRPr="004737B4" w:rsidRDefault="00944A95" w:rsidP="00D96B3D">
            <w:pPr>
              <w:jc w:val="center"/>
              <w:rPr>
                <w:rFonts w:eastAsia="Times New Roman"/>
                <w:color w:val="000000"/>
                <w:sz w:val="20"/>
                <w:szCs w:val="20"/>
              </w:rPr>
            </w:pPr>
          </w:p>
        </w:tc>
      </w:tr>
    </w:tbl>
    <w:p w:rsidR="004737B4" w:rsidRPr="004737B4" w:rsidRDefault="00AE4C26" w:rsidP="004737B4">
      <w:pPr>
        <w:jc w:val="both"/>
        <w:rPr>
          <w:sz w:val="20"/>
          <w:szCs w:val="20"/>
        </w:rPr>
      </w:pPr>
      <w:r w:rsidRPr="004737B4">
        <w:rPr>
          <w:noProof/>
          <w:sz w:val="20"/>
          <w:szCs w:val="20"/>
          <w:lang w:val="en-US" w:eastAsia="en-US"/>
        </w:rPr>
        <w:drawing>
          <wp:inline distT="0" distB="0" distL="0" distR="0">
            <wp:extent cx="3074400" cy="18000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468297535" name="Fig. 3.jpg"/>
                    <pic:cNvPicPr/>
                  </pic:nvPicPr>
                  <pic:blipFill>
                    <a:blip r:embed="rId1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sharpenSoften amount="2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4400" cy="1800000"/>
                    </a:xfrm>
                    <a:prstGeom prst="rect">
                      <a:avLst/>
                    </a:prstGeom>
                  </pic:spPr>
                </pic:pic>
              </a:graphicData>
            </a:graphic>
          </wp:inline>
        </w:drawing>
      </w:r>
    </w:p>
    <w:p w:rsidR="004737B4" w:rsidRDefault="00AE4C26" w:rsidP="004737B4">
      <w:pPr>
        <w:jc w:val="both"/>
        <w:rPr>
          <w:i/>
          <w:iCs/>
          <w:sz w:val="20"/>
          <w:szCs w:val="20"/>
        </w:rPr>
      </w:pPr>
      <w:r w:rsidRPr="00C42231">
        <w:rPr>
          <w:b/>
          <w:i/>
          <w:sz w:val="20"/>
          <w:szCs w:val="20"/>
        </w:rPr>
        <w:t>Fig. 3</w:t>
      </w:r>
      <w:r w:rsidR="00EE5F3D" w:rsidRPr="00C42231">
        <w:rPr>
          <w:b/>
          <w:i/>
          <w:sz w:val="20"/>
          <w:szCs w:val="20"/>
        </w:rPr>
        <w:t>.</w:t>
      </w:r>
      <w:r w:rsidRPr="00C42231">
        <w:rPr>
          <w:i/>
          <w:iCs/>
          <w:sz w:val="20"/>
          <w:szCs w:val="20"/>
        </w:rPr>
        <w:t xml:space="preserve">Lowest RMSE obtained by the fine-tuning </w:t>
      </w:r>
      <w:r w:rsidRPr="00C42231">
        <w:rPr>
          <w:i/>
          <w:color w:val="000000"/>
          <w:sz w:val="20"/>
          <w:szCs w:val="20"/>
        </w:rPr>
        <w:t>α=40</w:t>
      </w:r>
      <w:r w:rsidRPr="00C42231">
        <w:rPr>
          <w:i/>
          <w:iCs/>
          <w:sz w:val="20"/>
          <w:szCs w:val="20"/>
        </w:rPr>
        <w:t xml:space="preserve"> of RFM</w:t>
      </w:r>
    </w:p>
    <w:p w:rsidR="00077A15" w:rsidRPr="00C42231" w:rsidRDefault="00077A15" w:rsidP="004737B4">
      <w:pPr>
        <w:jc w:val="both"/>
        <w:rPr>
          <w:i/>
          <w:iCs/>
          <w:sz w:val="20"/>
          <w:szCs w:val="20"/>
        </w:rPr>
      </w:pPr>
    </w:p>
    <w:p w:rsidR="004737B4" w:rsidRPr="004737B4" w:rsidRDefault="00AE4C26" w:rsidP="004737B4">
      <w:pPr>
        <w:jc w:val="both"/>
        <w:rPr>
          <w:sz w:val="20"/>
          <w:szCs w:val="20"/>
        </w:rPr>
      </w:pPr>
      <w:r w:rsidRPr="00077A15">
        <w:rPr>
          <w:b/>
          <w:sz w:val="20"/>
          <w:szCs w:val="20"/>
        </w:rPr>
        <w:t>Table 4</w:t>
      </w:r>
      <w:r w:rsidRPr="004737B4">
        <w:rPr>
          <w:sz w:val="20"/>
          <w:szCs w:val="20"/>
        </w:rPr>
        <w:t xml:space="preserve"> Lowest RMSE obtained for </w:t>
      </w:r>
      <w:r w:rsidRPr="004737B4">
        <w:rPr>
          <w:bCs/>
          <w:sz w:val="20"/>
          <w:szCs w:val="20"/>
        </w:rPr>
        <w:t>ƞ</w:t>
      </w:r>
      <w:r w:rsidRPr="004737B4">
        <w:rPr>
          <w:sz w:val="20"/>
          <w:szCs w:val="20"/>
        </w:rPr>
        <w:t xml:space="preserve"> =0.01 of MLP</w:t>
      </w:r>
    </w:p>
    <w:tbl>
      <w:tblPr>
        <w:tblStyle w:val="TableGrid"/>
        <w:tblW w:w="4837"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1901"/>
        <w:gridCol w:w="1552"/>
      </w:tblGrid>
      <w:tr w:rsidR="00C21FE7" w:rsidTr="001A64C2">
        <w:trPr>
          <w:trHeight w:val="355"/>
        </w:trPr>
        <w:tc>
          <w:tcPr>
            <w:tcW w:w="0" w:type="dxa"/>
            <w:tcBorders>
              <w:top w:val="single" w:sz="4" w:space="0" w:color="auto"/>
              <w:bottom w:val="single" w:sz="4" w:space="0" w:color="auto"/>
            </w:tcBorders>
            <w:vAlign w:val="center"/>
          </w:tcPr>
          <w:p w:rsidR="004737B4" w:rsidRPr="004737B4" w:rsidRDefault="00AE4C26" w:rsidP="00D96B3D">
            <w:pPr>
              <w:tabs>
                <w:tab w:val="left" w:pos="690"/>
              </w:tabs>
              <w:jc w:val="center"/>
              <w:rPr>
                <w:rFonts w:eastAsia="Times New Roman"/>
                <w:bCs/>
                <w:color w:val="000000"/>
                <w:sz w:val="20"/>
                <w:szCs w:val="20"/>
              </w:rPr>
            </w:pPr>
            <w:r w:rsidRPr="004737B4">
              <w:rPr>
                <w:rFonts w:eastAsia="Times New Roman"/>
                <w:bCs/>
                <w:color w:val="000000"/>
                <w:sz w:val="20"/>
                <w:szCs w:val="20"/>
              </w:rPr>
              <w:t>Serial no.</w:t>
            </w:r>
          </w:p>
        </w:tc>
        <w:tc>
          <w:tcPr>
            <w:tcW w:w="0" w:type="dxa"/>
            <w:tcBorders>
              <w:top w:val="single" w:sz="4" w:space="0" w:color="auto"/>
              <w:bottom w:val="single" w:sz="4" w:space="0" w:color="auto"/>
            </w:tcBorders>
            <w:noWrap/>
            <w:vAlign w:val="center"/>
            <w:hideMark/>
          </w:tcPr>
          <w:p w:rsidR="004737B4" w:rsidRPr="004737B4" w:rsidRDefault="00AE4C26" w:rsidP="00D96B3D">
            <w:pPr>
              <w:jc w:val="center"/>
              <w:rPr>
                <w:rFonts w:eastAsia="Times New Roman"/>
                <w:bCs/>
                <w:color w:val="000000"/>
                <w:sz w:val="20"/>
                <w:szCs w:val="20"/>
              </w:rPr>
            </w:pPr>
            <w:r w:rsidRPr="004737B4">
              <w:rPr>
                <w:rFonts w:eastAsia="Times New Roman"/>
                <w:bCs/>
                <w:color w:val="000000"/>
                <w:sz w:val="20"/>
                <w:szCs w:val="20"/>
              </w:rPr>
              <w:t>Learning Rate(</w:t>
            </w:r>
            <w:r w:rsidRPr="004737B4">
              <w:rPr>
                <w:bCs/>
                <w:sz w:val="20"/>
                <w:szCs w:val="20"/>
              </w:rPr>
              <w:t>ƞ)</w:t>
            </w:r>
          </w:p>
        </w:tc>
        <w:tc>
          <w:tcPr>
            <w:tcW w:w="0" w:type="dxa"/>
            <w:tcBorders>
              <w:top w:val="single" w:sz="4" w:space="0" w:color="auto"/>
              <w:bottom w:val="single" w:sz="4" w:space="0" w:color="auto"/>
            </w:tcBorders>
            <w:noWrap/>
            <w:vAlign w:val="center"/>
            <w:hideMark/>
          </w:tcPr>
          <w:p w:rsidR="004737B4" w:rsidRPr="004737B4" w:rsidRDefault="00AE4C26" w:rsidP="00D96B3D">
            <w:pPr>
              <w:jc w:val="center"/>
              <w:rPr>
                <w:rFonts w:eastAsia="Times New Roman"/>
                <w:bCs/>
                <w:color w:val="000000"/>
                <w:sz w:val="20"/>
                <w:szCs w:val="20"/>
              </w:rPr>
            </w:pPr>
            <w:r w:rsidRPr="004737B4">
              <w:rPr>
                <w:rFonts w:eastAsia="Times New Roman"/>
                <w:bCs/>
                <w:color w:val="000000"/>
                <w:sz w:val="20"/>
                <w:szCs w:val="20"/>
              </w:rPr>
              <w:t>RMSE</w:t>
            </w:r>
          </w:p>
        </w:tc>
      </w:tr>
      <w:tr w:rsidR="00C21FE7" w:rsidTr="001A64C2">
        <w:trPr>
          <w:trHeight w:val="170"/>
        </w:trPr>
        <w:tc>
          <w:tcPr>
            <w:tcW w:w="0" w:type="dxa"/>
            <w:tcBorders>
              <w:top w:val="single" w:sz="4" w:space="0" w:color="auto"/>
            </w:tcBorders>
            <w:vAlign w:val="center"/>
          </w:tcPr>
          <w:p w:rsidR="005F7D63" w:rsidRPr="004737B4" w:rsidRDefault="005F7D63" w:rsidP="00D96B3D">
            <w:pPr>
              <w:jc w:val="center"/>
              <w:rPr>
                <w:rFonts w:eastAsia="Times New Roman"/>
                <w:b/>
                <w:i/>
                <w:color w:val="000000"/>
                <w:sz w:val="20"/>
                <w:szCs w:val="20"/>
              </w:rPr>
            </w:pPr>
          </w:p>
        </w:tc>
        <w:tc>
          <w:tcPr>
            <w:tcW w:w="0" w:type="dxa"/>
            <w:tcBorders>
              <w:top w:val="single" w:sz="4" w:space="0" w:color="auto"/>
            </w:tcBorders>
            <w:noWrap/>
            <w:vAlign w:val="center"/>
          </w:tcPr>
          <w:p w:rsidR="005F7D63" w:rsidRPr="004737B4" w:rsidRDefault="005F7D63" w:rsidP="00D96B3D">
            <w:pPr>
              <w:jc w:val="center"/>
              <w:rPr>
                <w:rFonts w:eastAsia="Times New Roman"/>
                <w:b/>
                <w:i/>
                <w:color w:val="000000"/>
                <w:sz w:val="20"/>
                <w:szCs w:val="20"/>
              </w:rPr>
            </w:pPr>
          </w:p>
        </w:tc>
        <w:tc>
          <w:tcPr>
            <w:tcW w:w="0" w:type="dxa"/>
            <w:tcBorders>
              <w:top w:val="single" w:sz="4" w:space="0" w:color="auto"/>
            </w:tcBorders>
            <w:noWrap/>
            <w:vAlign w:val="center"/>
          </w:tcPr>
          <w:p w:rsidR="005F7D63" w:rsidRPr="004737B4" w:rsidRDefault="005F7D63" w:rsidP="00D96B3D">
            <w:pPr>
              <w:jc w:val="center"/>
              <w:rPr>
                <w:rFonts w:eastAsia="Times New Roman"/>
                <w:b/>
                <w:i/>
                <w:color w:val="000000"/>
                <w:sz w:val="20"/>
                <w:szCs w:val="20"/>
              </w:rPr>
            </w:pPr>
          </w:p>
        </w:tc>
      </w:tr>
      <w:tr w:rsidR="00C21FE7" w:rsidTr="001A64C2">
        <w:trPr>
          <w:trHeight w:val="170"/>
        </w:trPr>
        <w:tc>
          <w:tcPr>
            <w:tcW w:w="0" w:type="dxa"/>
            <w:vAlign w:val="center"/>
          </w:tcPr>
          <w:p w:rsidR="004737B4" w:rsidRPr="004737B4" w:rsidRDefault="00AE4C26" w:rsidP="00D96B3D">
            <w:pPr>
              <w:jc w:val="center"/>
              <w:rPr>
                <w:rFonts w:eastAsia="Times New Roman"/>
                <w:b/>
                <w:i/>
                <w:color w:val="000000"/>
                <w:sz w:val="20"/>
                <w:szCs w:val="20"/>
              </w:rPr>
            </w:pPr>
            <w:r w:rsidRPr="004737B4">
              <w:rPr>
                <w:rFonts w:eastAsia="Times New Roman"/>
                <w:b/>
                <w:i/>
                <w:color w:val="000000"/>
                <w:sz w:val="20"/>
                <w:szCs w:val="20"/>
              </w:rPr>
              <w:t>1</w:t>
            </w:r>
          </w:p>
        </w:tc>
        <w:tc>
          <w:tcPr>
            <w:tcW w:w="0" w:type="dxa"/>
            <w:noWrap/>
            <w:vAlign w:val="center"/>
            <w:hideMark/>
          </w:tcPr>
          <w:p w:rsidR="004737B4" w:rsidRPr="004737B4" w:rsidRDefault="00AE4C26" w:rsidP="00D96B3D">
            <w:pPr>
              <w:jc w:val="center"/>
              <w:rPr>
                <w:rFonts w:eastAsia="Times New Roman"/>
                <w:b/>
                <w:i/>
                <w:color w:val="000000"/>
                <w:sz w:val="20"/>
                <w:szCs w:val="20"/>
              </w:rPr>
            </w:pPr>
            <w:r w:rsidRPr="004737B4">
              <w:rPr>
                <w:rFonts w:eastAsia="Times New Roman"/>
                <w:b/>
                <w:i/>
                <w:color w:val="000000"/>
                <w:sz w:val="20"/>
                <w:szCs w:val="20"/>
              </w:rPr>
              <w:t>0.010</w:t>
            </w:r>
          </w:p>
        </w:tc>
        <w:tc>
          <w:tcPr>
            <w:tcW w:w="0" w:type="dxa"/>
            <w:noWrap/>
            <w:vAlign w:val="center"/>
            <w:hideMark/>
          </w:tcPr>
          <w:p w:rsidR="004737B4" w:rsidRPr="004737B4" w:rsidRDefault="00AE4C26" w:rsidP="00D96B3D">
            <w:pPr>
              <w:jc w:val="center"/>
              <w:rPr>
                <w:rFonts w:eastAsia="Times New Roman"/>
                <w:b/>
                <w:i/>
                <w:color w:val="000000"/>
                <w:sz w:val="20"/>
                <w:szCs w:val="20"/>
              </w:rPr>
            </w:pPr>
            <w:r w:rsidRPr="004737B4">
              <w:rPr>
                <w:rFonts w:eastAsia="Times New Roman"/>
                <w:b/>
                <w:i/>
                <w:color w:val="000000"/>
                <w:sz w:val="20"/>
                <w:szCs w:val="20"/>
              </w:rPr>
              <w:t>0.3066</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2</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0.015</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0.3171</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3</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0.020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0.3222</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4</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0.030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0.3274</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5</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0.040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0.3302</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6</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0.050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0.3315</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7</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0.100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0.3364</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8</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0.200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0.3400</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9</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0.250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0.3412</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0.3422</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11</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0.400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0.3439</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12</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0.500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0.3453</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13</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0.600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0.3467</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14</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0.700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0.3479</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15</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0.800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0.3491</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16</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0.900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0.3503</w:t>
            </w:r>
          </w:p>
        </w:tc>
      </w:tr>
      <w:tr w:rsidR="00C21FE7" w:rsidTr="001A64C2">
        <w:trPr>
          <w:trHeight w:val="170"/>
        </w:trPr>
        <w:tc>
          <w:tcPr>
            <w:tcW w:w="0" w:type="dxa"/>
            <w:vAlign w:val="center"/>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17</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1.000</w:t>
            </w:r>
          </w:p>
        </w:tc>
        <w:tc>
          <w:tcPr>
            <w:tcW w:w="0" w:type="dxa"/>
            <w:noWrap/>
            <w:vAlign w:val="center"/>
            <w:hideMark/>
          </w:tcPr>
          <w:p w:rsidR="004737B4" w:rsidRPr="004737B4" w:rsidRDefault="00AE4C26" w:rsidP="00D96B3D">
            <w:pPr>
              <w:jc w:val="center"/>
              <w:rPr>
                <w:rFonts w:eastAsia="Times New Roman"/>
                <w:color w:val="000000"/>
                <w:sz w:val="20"/>
                <w:szCs w:val="20"/>
              </w:rPr>
            </w:pPr>
            <w:r w:rsidRPr="004737B4">
              <w:rPr>
                <w:rFonts w:eastAsia="Times New Roman"/>
                <w:color w:val="000000"/>
                <w:sz w:val="20"/>
                <w:szCs w:val="20"/>
              </w:rPr>
              <w:t>0.3514</w:t>
            </w:r>
          </w:p>
        </w:tc>
      </w:tr>
      <w:tr w:rsidR="00C21FE7" w:rsidTr="001A64C2">
        <w:trPr>
          <w:trHeight w:val="170"/>
        </w:trPr>
        <w:tc>
          <w:tcPr>
            <w:tcW w:w="0" w:type="dxa"/>
            <w:vAlign w:val="center"/>
          </w:tcPr>
          <w:p w:rsidR="005F7D63" w:rsidRPr="004737B4" w:rsidRDefault="005F7D63" w:rsidP="00D96B3D">
            <w:pPr>
              <w:jc w:val="center"/>
              <w:rPr>
                <w:rFonts w:eastAsia="Times New Roman"/>
                <w:color w:val="000000"/>
                <w:sz w:val="20"/>
                <w:szCs w:val="20"/>
              </w:rPr>
            </w:pPr>
          </w:p>
        </w:tc>
        <w:tc>
          <w:tcPr>
            <w:tcW w:w="0" w:type="dxa"/>
            <w:noWrap/>
            <w:vAlign w:val="center"/>
          </w:tcPr>
          <w:p w:rsidR="005F7D63" w:rsidRPr="004737B4" w:rsidRDefault="005F7D63" w:rsidP="00D96B3D">
            <w:pPr>
              <w:jc w:val="center"/>
              <w:rPr>
                <w:rFonts w:eastAsia="Times New Roman"/>
                <w:color w:val="000000"/>
                <w:sz w:val="20"/>
                <w:szCs w:val="20"/>
              </w:rPr>
            </w:pPr>
          </w:p>
        </w:tc>
        <w:tc>
          <w:tcPr>
            <w:tcW w:w="0" w:type="dxa"/>
            <w:noWrap/>
            <w:vAlign w:val="center"/>
          </w:tcPr>
          <w:p w:rsidR="005F7D63" w:rsidRPr="004737B4" w:rsidRDefault="005F7D63" w:rsidP="00D96B3D">
            <w:pPr>
              <w:jc w:val="center"/>
              <w:rPr>
                <w:rFonts w:eastAsia="Times New Roman"/>
                <w:color w:val="000000"/>
                <w:sz w:val="20"/>
                <w:szCs w:val="20"/>
              </w:rPr>
            </w:pPr>
          </w:p>
        </w:tc>
      </w:tr>
    </w:tbl>
    <w:p w:rsidR="004737B4" w:rsidRPr="004737B4" w:rsidRDefault="00AE4C26" w:rsidP="004737B4">
      <w:pPr>
        <w:rPr>
          <w:color w:val="FF0000"/>
          <w:sz w:val="20"/>
          <w:szCs w:val="20"/>
        </w:rPr>
      </w:pPr>
      <w:r w:rsidRPr="004737B4">
        <w:rPr>
          <w:noProof/>
          <w:color w:val="FF0000"/>
          <w:sz w:val="20"/>
          <w:szCs w:val="20"/>
          <w:lang w:val="en-US" w:eastAsia="en-US"/>
        </w:rPr>
        <w:drawing>
          <wp:inline distT="0" distB="0" distL="0" distR="0">
            <wp:extent cx="3090988" cy="18000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937083285" name="Fig. 4.jpg"/>
                    <pic:cNvPicPr/>
                  </pic:nvPicPr>
                  <pic:blipFill>
                    <a:blip r:embed="rId1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9">
                              <a14:imgEffect>
                                <a14:sharpenSoften amount="2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90988" cy="1800000"/>
                    </a:xfrm>
                    <a:prstGeom prst="rect">
                      <a:avLst/>
                    </a:prstGeom>
                  </pic:spPr>
                </pic:pic>
              </a:graphicData>
            </a:graphic>
          </wp:inline>
        </w:drawing>
      </w:r>
    </w:p>
    <w:p w:rsidR="004737B4" w:rsidRDefault="00AE4C26" w:rsidP="00730DCC">
      <w:pPr>
        <w:jc w:val="both"/>
        <w:rPr>
          <w:i/>
          <w:iCs/>
          <w:sz w:val="20"/>
          <w:szCs w:val="20"/>
        </w:rPr>
      </w:pPr>
      <w:r w:rsidRPr="00EE230A">
        <w:rPr>
          <w:b/>
          <w:i/>
          <w:sz w:val="20"/>
          <w:szCs w:val="20"/>
        </w:rPr>
        <w:t>Fig. 4</w:t>
      </w:r>
      <w:r w:rsidR="00EE230A" w:rsidRPr="00EE230A">
        <w:rPr>
          <w:b/>
          <w:i/>
          <w:sz w:val="20"/>
          <w:szCs w:val="20"/>
        </w:rPr>
        <w:t>.</w:t>
      </w:r>
      <w:r w:rsidRPr="004737B4">
        <w:rPr>
          <w:i/>
          <w:iCs/>
          <w:sz w:val="20"/>
          <w:szCs w:val="20"/>
        </w:rPr>
        <w:t xml:space="preserve">Lowest RMSE obtained by the fine-tuning </w:t>
      </w:r>
      <w:r w:rsidRPr="004737B4">
        <w:rPr>
          <w:bCs/>
          <w:i/>
          <w:sz w:val="20"/>
          <w:szCs w:val="20"/>
        </w:rPr>
        <w:t>ƞ</w:t>
      </w:r>
      <w:r w:rsidRPr="004737B4">
        <w:rPr>
          <w:i/>
          <w:sz w:val="20"/>
          <w:szCs w:val="20"/>
        </w:rPr>
        <w:t xml:space="preserve"> =0.01 </w:t>
      </w:r>
      <w:r w:rsidRPr="004737B4">
        <w:rPr>
          <w:i/>
          <w:iCs/>
          <w:sz w:val="20"/>
          <w:szCs w:val="20"/>
        </w:rPr>
        <w:t>of MLP</w:t>
      </w:r>
    </w:p>
    <w:p w:rsidR="00354986" w:rsidRPr="00354986" w:rsidRDefault="00354986" w:rsidP="00354986">
      <w:pPr>
        <w:ind w:firstLine="567"/>
        <w:jc w:val="both"/>
        <w:rPr>
          <w:i/>
          <w:iCs/>
          <w:sz w:val="20"/>
          <w:szCs w:val="20"/>
        </w:rPr>
      </w:pPr>
    </w:p>
    <w:p w:rsidR="00354986" w:rsidRDefault="00AE4C26" w:rsidP="00354986">
      <w:pPr>
        <w:ind w:firstLine="567"/>
        <w:jc w:val="both"/>
        <w:rPr>
          <w:sz w:val="20"/>
          <w:szCs w:val="20"/>
        </w:rPr>
      </w:pPr>
      <w:r w:rsidRPr="00354986">
        <w:rPr>
          <w:sz w:val="20"/>
          <w:szCs w:val="20"/>
        </w:rPr>
        <w:t>The predicted no. of deaths obtained using traditional methods such as [1</w:t>
      </w:r>
      <w:r w:rsidR="00525DE1">
        <w:rPr>
          <w:sz w:val="20"/>
          <w:szCs w:val="20"/>
        </w:rPr>
        <w:t>6</w:t>
      </w:r>
      <w:r w:rsidRPr="00354986">
        <w:rPr>
          <w:sz w:val="20"/>
          <w:szCs w:val="20"/>
        </w:rPr>
        <w:t>], [1</w:t>
      </w:r>
      <w:r w:rsidR="00525DE1">
        <w:rPr>
          <w:sz w:val="20"/>
          <w:szCs w:val="20"/>
        </w:rPr>
        <w:t>8</w:t>
      </w:r>
      <w:r w:rsidRPr="00354986">
        <w:rPr>
          <w:sz w:val="20"/>
          <w:szCs w:val="20"/>
        </w:rPr>
        <w:t>], and LR-lag in China due to the 2019-nCOV outbreak shown in Fig. 5.</w:t>
      </w:r>
    </w:p>
    <w:p w:rsidR="00CA7C04" w:rsidRDefault="00AE4C26" w:rsidP="00B36923">
      <w:pPr>
        <w:ind w:firstLine="567"/>
        <w:jc w:val="both"/>
        <w:rPr>
          <w:rFonts w:eastAsia="Times New Roman"/>
          <w:color w:val="0E101A"/>
          <w:sz w:val="20"/>
          <w:szCs w:val="20"/>
        </w:rPr>
      </w:pPr>
      <w:r w:rsidRPr="00B36923">
        <w:rPr>
          <w:color w:val="000000" w:themeColor="text1"/>
          <w:sz w:val="20"/>
          <w:szCs w:val="18"/>
        </w:rPr>
        <w:t>RMSE values obtained for [1</w:t>
      </w:r>
      <w:r w:rsidR="00525DE1">
        <w:rPr>
          <w:color w:val="000000" w:themeColor="text1"/>
          <w:sz w:val="20"/>
          <w:szCs w:val="18"/>
        </w:rPr>
        <w:t>6</w:t>
      </w:r>
      <w:r w:rsidRPr="00B36923">
        <w:rPr>
          <w:color w:val="000000" w:themeColor="text1"/>
          <w:sz w:val="20"/>
          <w:szCs w:val="18"/>
        </w:rPr>
        <w:t>], [1</w:t>
      </w:r>
      <w:r w:rsidR="00525DE1">
        <w:rPr>
          <w:color w:val="000000" w:themeColor="text1"/>
          <w:sz w:val="20"/>
          <w:szCs w:val="18"/>
        </w:rPr>
        <w:t>8</w:t>
      </w:r>
      <w:r w:rsidRPr="00B36923">
        <w:rPr>
          <w:color w:val="000000" w:themeColor="text1"/>
          <w:sz w:val="20"/>
          <w:szCs w:val="18"/>
        </w:rPr>
        <w:t>], and LR-lag in the estimation of death due to the 2019-nCOV outbreak listed in Table 5.</w:t>
      </w:r>
      <w:r w:rsidR="00CA7C04" w:rsidRPr="00D35D32">
        <w:rPr>
          <w:rFonts w:eastAsia="Times New Roman"/>
          <w:color w:val="0E101A"/>
          <w:sz w:val="20"/>
          <w:szCs w:val="20"/>
        </w:rPr>
        <w:t>The best fit ARIMA and ETS models for the data set as follows:</w:t>
      </w:r>
    </w:p>
    <w:p w:rsidR="00CA7C04" w:rsidRPr="00D35D32" w:rsidRDefault="00CA7C04" w:rsidP="00F9383B">
      <w:pPr>
        <w:numPr>
          <w:ilvl w:val="0"/>
          <w:numId w:val="12"/>
        </w:numPr>
        <w:tabs>
          <w:tab w:val="clear" w:pos="720"/>
        </w:tabs>
        <w:ind w:left="357" w:hanging="357"/>
        <w:jc w:val="both"/>
        <w:rPr>
          <w:rFonts w:eastAsia="Times New Roman"/>
          <w:color w:val="0E101A"/>
          <w:sz w:val="20"/>
          <w:szCs w:val="20"/>
        </w:rPr>
      </w:pPr>
      <w:r w:rsidRPr="00D35D32">
        <w:rPr>
          <w:rFonts w:eastAsia="Times New Roman"/>
          <w:color w:val="0E101A"/>
          <w:sz w:val="20"/>
          <w:szCs w:val="20"/>
        </w:rPr>
        <w:t xml:space="preserve">ARIMA(0, 2, 1),i.e., p = 0, d = 2, </w:t>
      </w:r>
      <w:r>
        <w:rPr>
          <w:rFonts w:eastAsia="Times New Roman"/>
          <w:color w:val="0E101A"/>
          <w:sz w:val="20"/>
          <w:szCs w:val="20"/>
        </w:rPr>
        <w:t xml:space="preserve">and </w:t>
      </w:r>
      <w:r w:rsidRPr="00D35D32">
        <w:rPr>
          <w:rFonts w:eastAsia="Times New Roman"/>
          <w:color w:val="0E101A"/>
          <w:sz w:val="20"/>
          <w:szCs w:val="20"/>
        </w:rPr>
        <w:t>q = 1 </w:t>
      </w:r>
    </w:p>
    <w:p w:rsidR="00CA7C04" w:rsidRPr="00CA7C04" w:rsidRDefault="00865474" w:rsidP="00F9383B">
      <w:pPr>
        <w:pStyle w:val="ListParagraph"/>
        <w:numPr>
          <w:ilvl w:val="0"/>
          <w:numId w:val="12"/>
        </w:numPr>
        <w:tabs>
          <w:tab w:val="clear" w:pos="720"/>
        </w:tabs>
        <w:ind w:left="357" w:hanging="357"/>
        <w:jc w:val="both"/>
        <w:rPr>
          <w:rFonts w:eastAsia="Times New Roman"/>
          <w:color w:val="0E101A"/>
          <w:sz w:val="20"/>
          <w:szCs w:val="20"/>
        </w:rPr>
      </w:pPr>
      <w:r>
        <w:rPr>
          <w:rFonts w:eastAsia="Times New Roman"/>
          <w:color w:val="0E101A"/>
          <w:sz w:val="20"/>
          <w:szCs w:val="20"/>
        </w:rPr>
        <w:t>ETS</w:t>
      </w:r>
      <w:r w:rsidR="00CA7C04" w:rsidRPr="00CA7C04">
        <w:rPr>
          <w:rFonts w:eastAsia="Times New Roman"/>
          <w:color w:val="0E101A"/>
          <w:sz w:val="20"/>
          <w:szCs w:val="20"/>
        </w:rPr>
        <w:t>(Additive, Additive, None), i.e., Error = Additive, Trend = Additive, and Seasonality = None</w:t>
      </w:r>
    </w:p>
    <w:p w:rsidR="002657CC" w:rsidRPr="00B36923" w:rsidRDefault="00720B9A" w:rsidP="00B36923">
      <w:pPr>
        <w:ind w:firstLine="567"/>
        <w:jc w:val="both"/>
        <w:rPr>
          <w:color w:val="FF0000"/>
          <w:sz w:val="22"/>
          <w:szCs w:val="18"/>
        </w:rPr>
      </w:pPr>
      <w:r w:rsidRPr="00B36923">
        <w:rPr>
          <w:color w:val="000000" w:themeColor="text1"/>
          <w:sz w:val="20"/>
          <w:szCs w:val="18"/>
        </w:rPr>
        <w:t>A comparison of RMSE</w:t>
      </w:r>
      <w:r w:rsidR="00711B73">
        <w:rPr>
          <w:color w:val="000000" w:themeColor="text1"/>
          <w:sz w:val="20"/>
          <w:szCs w:val="18"/>
        </w:rPr>
        <w:t xml:space="preserve"> values</w:t>
      </w:r>
      <w:r w:rsidRPr="00B36923">
        <w:rPr>
          <w:color w:val="000000" w:themeColor="text1"/>
          <w:sz w:val="20"/>
          <w:szCs w:val="18"/>
        </w:rPr>
        <w:t xml:space="preserve"> obtained </w:t>
      </w:r>
      <w:r w:rsidR="00711B73">
        <w:rPr>
          <w:color w:val="000000" w:themeColor="text1"/>
          <w:sz w:val="20"/>
          <w:szCs w:val="18"/>
        </w:rPr>
        <w:t>using</w:t>
      </w:r>
      <w:r w:rsidRPr="00B36923">
        <w:rPr>
          <w:color w:val="000000" w:themeColor="text1"/>
          <w:sz w:val="20"/>
          <w:szCs w:val="18"/>
        </w:rPr>
        <w:t xml:space="preserve"> ARIMA, ETS, LR-lag, RFM, and MLP is shown in Fig. 6.</w:t>
      </w:r>
      <w:r w:rsidR="00AE4C26" w:rsidRPr="00B36923">
        <w:rPr>
          <w:color w:val="000000" w:themeColor="text1"/>
          <w:sz w:val="20"/>
          <w:szCs w:val="20"/>
        </w:rPr>
        <w:t>It is apparent from Fig. 6 that the minimum RMSE of the conventional forecasting method set, i.e., {ARIMA, ETS, LR-lag} is 35.50, and for the ML set, i.e., {RFM, MLP}, the minimum RMSE is 0.14. Therefore, the minimum (35.50, 0.14) = 0.14 is the RMSE achieved for [</w:t>
      </w:r>
      <w:r w:rsidR="00525DE1">
        <w:rPr>
          <w:color w:val="000000" w:themeColor="text1"/>
          <w:sz w:val="20"/>
          <w:szCs w:val="20"/>
        </w:rPr>
        <w:t>9</w:t>
      </w:r>
      <w:r w:rsidR="00AE4C26" w:rsidRPr="00B36923">
        <w:rPr>
          <w:color w:val="000000" w:themeColor="text1"/>
          <w:sz w:val="20"/>
          <w:szCs w:val="20"/>
        </w:rPr>
        <w:t>] in the proposed CFPSD model.</w:t>
      </w:r>
    </w:p>
    <w:p w:rsidR="009218A9" w:rsidRDefault="00AE4C26" w:rsidP="002657CC">
      <w:pPr>
        <w:ind w:firstLine="567"/>
        <w:jc w:val="both"/>
        <w:rPr>
          <w:sz w:val="20"/>
          <w:szCs w:val="20"/>
        </w:rPr>
      </w:pPr>
      <w:r w:rsidRPr="00BF0FCF">
        <w:rPr>
          <w:sz w:val="20"/>
          <w:szCs w:val="20"/>
        </w:rPr>
        <w:t>We investigated the performance of our proposed CFPSD model with two state-of-art time series-forecasting methods, namely, MLP-lag and Exponential smoothing state-space model with Box-Cox transformation, ARMA errors</w:t>
      </w:r>
      <w:r w:rsidR="006A66AA">
        <w:rPr>
          <w:sz w:val="20"/>
          <w:szCs w:val="20"/>
        </w:rPr>
        <w:t>, Trend and Seasonal components</w:t>
      </w:r>
      <w:r w:rsidRPr="00BF0FCF">
        <w:rPr>
          <w:sz w:val="20"/>
          <w:szCs w:val="20"/>
        </w:rPr>
        <w:t xml:space="preserve"> (</w:t>
      </w:r>
      <w:r w:rsidRPr="00BF0FCF">
        <w:rPr>
          <w:b/>
          <w:sz w:val="20"/>
          <w:szCs w:val="20"/>
        </w:rPr>
        <w:t>BATS</w:t>
      </w:r>
      <w:r w:rsidRPr="00BF0FCF">
        <w:rPr>
          <w:sz w:val="20"/>
          <w:szCs w:val="20"/>
        </w:rPr>
        <w:t>) [</w:t>
      </w:r>
      <w:r w:rsidR="004E75A9">
        <w:rPr>
          <w:sz w:val="20"/>
          <w:szCs w:val="20"/>
        </w:rPr>
        <w:t>24</w:t>
      </w:r>
      <w:r w:rsidRPr="00BF0FCF">
        <w:rPr>
          <w:sz w:val="20"/>
          <w:szCs w:val="20"/>
        </w:rPr>
        <w:t>].</w:t>
      </w:r>
    </w:p>
    <w:p w:rsidR="00611203" w:rsidRDefault="00AE4C26" w:rsidP="002657CC">
      <w:pPr>
        <w:ind w:firstLine="567"/>
        <w:jc w:val="both"/>
        <w:rPr>
          <w:sz w:val="20"/>
          <w:szCs w:val="20"/>
        </w:rPr>
      </w:pPr>
      <w:r w:rsidRPr="00B36923">
        <w:rPr>
          <w:color w:val="000000" w:themeColor="text1"/>
          <w:sz w:val="20"/>
          <w:szCs w:val="20"/>
        </w:rPr>
        <w:t xml:space="preserve">The MLP-lag is a widely accepted alternative to traditional statistical approaches for addressing the time series forecasting problems because of its ability to learn and generalize accumulated knowledge and model nonlinear trends. </w:t>
      </w:r>
      <w:r w:rsidRPr="00635D61">
        <w:rPr>
          <w:sz w:val="20"/>
          <w:szCs w:val="20"/>
        </w:rPr>
        <w:t xml:space="preserve">In this context, </w:t>
      </w:r>
      <w:r w:rsidR="00EF62B9">
        <w:rPr>
          <w:sz w:val="20"/>
          <w:szCs w:val="20"/>
        </w:rPr>
        <w:t xml:space="preserve">S. </w:t>
      </w:r>
      <w:r w:rsidRPr="00EF62B9">
        <w:rPr>
          <w:sz w:val="20"/>
          <w:szCs w:val="20"/>
        </w:rPr>
        <w:t>Pryima</w:t>
      </w:r>
      <w:r w:rsidRPr="00635D61">
        <w:rPr>
          <w:sz w:val="20"/>
          <w:szCs w:val="20"/>
        </w:rPr>
        <w:t xml:space="preserve"> et al. </w:t>
      </w:r>
      <w:r w:rsidR="00705E42" w:rsidRPr="00635D61">
        <w:rPr>
          <w:sz w:val="20"/>
          <w:szCs w:val="20"/>
        </w:rPr>
        <w:t>[</w:t>
      </w:r>
      <w:r w:rsidR="00705E42">
        <w:rPr>
          <w:sz w:val="20"/>
          <w:szCs w:val="20"/>
        </w:rPr>
        <w:t>25</w:t>
      </w:r>
      <w:r w:rsidR="00705E42" w:rsidRPr="00635D61">
        <w:rPr>
          <w:sz w:val="20"/>
          <w:szCs w:val="20"/>
        </w:rPr>
        <w:t>]</w:t>
      </w:r>
      <w:r w:rsidRPr="00635D61">
        <w:rPr>
          <w:sz w:val="20"/>
          <w:szCs w:val="20"/>
        </w:rPr>
        <w:t xml:space="preserve">had shown that the MLP with lag inputs yields accurate prediction. In another work, </w:t>
      </w:r>
      <w:r w:rsidR="006D1BAC">
        <w:rPr>
          <w:sz w:val="20"/>
          <w:szCs w:val="20"/>
        </w:rPr>
        <w:t xml:space="preserve">C. </w:t>
      </w:r>
      <w:r w:rsidRPr="006D1BAC">
        <w:rPr>
          <w:sz w:val="20"/>
          <w:szCs w:val="20"/>
        </w:rPr>
        <w:t>ZhiYuan</w:t>
      </w:r>
      <w:r w:rsidRPr="00635D61">
        <w:rPr>
          <w:sz w:val="20"/>
          <w:szCs w:val="20"/>
        </w:rPr>
        <w:t xml:space="preserve"> et al.</w:t>
      </w:r>
      <w:r w:rsidR="00307AA3">
        <w:rPr>
          <w:sz w:val="20"/>
          <w:szCs w:val="20"/>
        </w:rPr>
        <w:t>[26]</w:t>
      </w:r>
      <w:r w:rsidRPr="00635D61">
        <w:rPr>
          <w:sz w:val="20"/>
          <w:szCs w:val="20"/>
        </w:rPr>
        <w:t xml:space="preserve"> selected the lag values using a differential evolution algorithm to combine with the artificial neural network to achieve prudent forecasting.</w:t>
      </w:r>
    </w:p>
    <w:p w:rsidR="002657CC" w:rsidRPr="002657CC" w:rsidRDefault="00AE4C26" w:rsidP="002657CC">
      <w:pPr>
        <w:ind w:firstLine="567"/>
        <w:jc w:val="both"/>
        <w:rPr>
          <w:color w:val="FF0000"/>
          <w:sz w:val="20"/>
          <w:szCs w:val="18"/>
        </w:rPr>
      </w:pPr>
      <w:r w:rsidRPr="00B36923">
        <w:rPr>
          <w:color w:val="000000" w:themeColor="text1"/>
          <w:sz w:val="20"/>
          <w:szCs w:val="20"/>
        </w:rPr>
        <w:t>Consequently, we predicted no. of deaths due to the 2019-nCoV epidemic using MLP-lag shown in Fig. 7. The RMSE obtained for the MLP-lag method is 8.14, much higher than the RMSE of RFM. Therefore, the RFM based prediction also outperformed MLP-lag</w:t>
      </w:r>
      <w:r w:rsidRPr="002657CC">
        <w:rPr>
          <w:color w:val="FF0000"/>
          <w:sz w:val="20"/>
          <w:szCs w:val="20"/>
        </w:rPr>
        <w:t>.</w:t>
      </w:r>
    </w:p>
    <w:p w:rsidR="00C4056E" w:rsidRPr="00C4056E" w:rsidRDefault="00C4056E" w:rsidP="00C4056E">
      <w:pPr>
        <w:ind w:left="-142"/>
        <w:jc w:val="both"/>
        <w:rPr>
          <w:sz w:val="20"/>
          <w:szCs w:val="18"/>
        </w:rPr>
      </w:pPr>
    </w:p>
    <w:p w:rsidR="00C4056E" w:rsidRPr="00C4056E" w:rsidRDefault="00500123" w:rsidP="00C4056E">
      <w:pPr>
        <w:jc w:val="both"/>
        <w:rPr>
          <w:sz w:val="20"/>
          <w:szCs w:val="18"/>
        </w:rPr>
      </w:pPr>
      <w:r>
        <w:rPr>
          <w:noProof/>
          <w:sz w:val="20"/>
          <w:szCs w:val="18"/>
          <w:lang w:val="en-US" w:eastAsia="en-US"/>
        </w:rPr>
        <w:drawing>
          <wp:inline distT="0" distB="0" distL="0" distR="0">
            <wp:extent cx="3024000" cy="1800000"/>
            <wp:effectExtent l="0" t="0" r="508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g. 5.jpg"/>
                    <pic:cNvPicPr/>
                  </pic:nvPicPr>
                  <pic:blipFill>
                    <a:blip r:embed="rId2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1">
                              <a14:imgEffect>
                                <a14:sharpenSoften amount="25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4000" cy="1800000"/>
                    </a:xfrm>
                    <a:prstGeom prst="rect">
                      <a:avLst/>
                    </a:prstGeom>
                  </pic:spPr>
                </pic:pic>
              </a:graphicData>
            </a:graphic>
          </wp:inline>
        </w:drawing>
      </w:r>
    </w:p>
    <w:p w:rsidR="00C4056E" w:rsidRPr="00C4056E" w:rsidRDefault="00AE4C26" w:rsidP="00C4056E">
      <w:pPr>
        <w:jc w:val="both"/>
        <w:rPr>
          <w:color w:val="FF0000"/>
          <w:sz w:val="20"/>
          <w:szCs w:val="18"/>
        </w:rPr>
      </w:pPr>
      <w:r w:rsidRPr="00C4056E">
        <w:rPr>
          <w:b/>
          <w:i/>
          <w:sz w:val="20"/>
          <w:szCs w:val="18"/>
        </w:rPr>
        <w:t>Fig. 5.</w:t>
      </w:r>
      <w:r w:rsidRPr="00C4056E">
        <w:rPr>
          <w:i/>
          <w:sz w:val="20"/>
          <w:szCs w:val="18"/>
        </w:rPr>
        <w:t xml:space="preserve">Predicted no. of deaths using ARIMA, ETS, and LR-lag </w:t>
      </w:r>
    </w:p>
    <w:p w:rsidR="00C4056E" w:rsidRPr="00C4056E" w:rsidRDefault="00C4056E" w:rsidP="00C4056E">
      <w:pPr>
        <w:jc w:val="both"/>
        <w:rPr>
          <w:sz w:val="20"/>
          <w:szCs w:val="18"/>
        </w:rPr>
      </w:pPr>
    </w:p>
    <w:p w:rsidR="00C4056E" w:rsidRPr="00C4056E" w:rsidRDefault="00AE4C26" w:rsidP="00C4056E">
      <w:pPr>
        <w:jc w:val="both"/>
        <w:rPr>
          <w:sz w:val="20"/>
          <w:szCs w:val="18"/>
        </w:rPr>
      </w:pPr>
      <w:r w:rsidRPr="000911C3">
        <w:rPr>
          <w:b/>
          <w:sz w:val="20"/>
          <w:szCs w:val="18"/>
        </w:rPr>
        <w:t>Table 5</w:t>
      </w:r>
      <w:r w:rsidRPr="00C4056E">
        <w:rPr>
          <w:sz w:val="20"/>
          <w:szCs w:val="18"/>
        </w:rPr>
        <w:t xml:space="preserve"> RMSE of ARIMA, ETS, and LR-lag</w:t>
      </w:r>
    </w:p>
    <w:tbl>
      <w:tblPr>
        <w:tblStyle w:val="TableGrid"/>
        <w:tblW w:w="4327"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9"/>
        <w:gridCol w:w="1120"/>
        <w:gridCol w:w="1848"/>
      </w:tblGrid>
      <w:tr w:rsidR="00C21FE7" w:rsidTr="00C1068D">
        <w:trPr>
          <w:trHeight w:val="245"/>
        </w:trPr>
        <w:tc>
          <w:tcPr>
            <w:tcW w:w="1359" w:type="dxa"/>
            <w:tcBorders>
              <w:top w:val="single" w:sz="4" w:space="0" w:color="auto"/>
              <w:bottom w:val="single" w:sz="4" w:space="0" w:color="auto"/>
            </w:tcBorders>
            <w:vAlign w:val="center"/>
            <w:hideMark/>
          </w:tcPr>
          <w:p w:rsidR="00C4056E" w:rsidRPr="00C4056E" w:rsidRDefault="00AE4C26" w:rsidP="00777F0A">
            <w:pPr>
              <w:jc w:val="center"/>
              <w:rPr>
                <w:rFonts w:eastAsia="Times New Roman"/>
                <w:bCs/>
                <w:color w:val="000000"/>
                <w:sz w:val="20"/>
                <w:szCs w:val="18"/>
              </w:rPr>
            </w:pPr>
            <w:r w:rsidRPr="00C4056E">
              <w:rPr>
                <w:rFonts w:eastAsia="Times New Roman"/>
                <w:bCs/>
                <w:color w:val="000000"/>
                <w:sz w:val="20"/>
                <w:szCs w:val="18"/>
              </w:rPr>
              <w:t>Serial no.</w:t>
            </w:r>
          </w:p>
        </w:tc>
        <w:tc>
          <w:tcPr>
            <w:tcW w:w="1120" w:type="dxa"/>
            <w:tcBorders>
              <w:top w:val="single" w:sz="4" w:space="0" w:color="auto"/>
              <w:bottom w:val="single" w:sz="4" w:space="0" w:color="auto"/>
            </w:tcBorders>
            <w:vAlign w:val="center"/>
          </w:tcPr>
          <w:p w:rsidR="00C4056E" w:rsidRPr="00C4056E" w:rsidRDefault="00AE4C26" w:rsidP="00777F0A">
            <w:pPr>
              <w:jc w:val="center"/>
              <w:rPr>
                <w:rFonts w:eastAsia="Times New Roman"/>
                <w:bCs/>
                <w:color w:val="000000"/>
                <w:sz w:val="20"/>
                <w:szCs w:val="18"/>
              </w:rPr>
            </w:pPr>
            <w:r w:rsidRPr="00C4056E">
              <w:rPr>
                <w:rFonts w:eastAsia="Times New Roman"/>
                <w:bCs/>
                <w:color w:val="000000"/>
                <w:sz w:val="20"/>
                <w:szCs w:val="18"/>
              </w:rPr>
              <w:t>Method</w:t>
            </w:r>
          </w:p>
        </w:tc>
        <w:tc>
          <w:tcPr>
            <w:tcW w:w="1848" w:type="dxa"/>
            <w:tcBorders>
              <w:top w:val="single" w:sz="4" w:space="0" w:color="auto"/>
              <w:bottom w:val="single" w:sz="4" w:space="0" w:color="auto"/>
            </w:tcBorders>
            <w:vAlign w:val="center"/>
          </w:tcPr>
          <w:p w:rsidR="00C4056E" w:rsidRPr="00C4056E" w:rsidRDefault="00AE4C26" w:rsidP="00777F0A">
            <w:pPr>
              <w:jc w:val="center"/>
              <w:rPr>
                <w:rFonts w:eastAsia="Times New Roman"/>
                <w:bCs/>
                <w:color w:val="000000"/>
                <w:sz w:val="20"/>
                <w:szCs w:val="18"/>
              </w:rPr>
            </w:pPr>
            <w:r w:rsidRPr="00C4056E">
              <w:rPr>
                <w:rFonts w:eastAsia="Times New Roman"/>
                <w:bCs/>
                <w:color w:val="000000"/>
                <w:sz w:val="20"/>
                <w:szCs w:val="18"/>
              </w:rPr>
              <w:t>RMSE</w:t>
            </w:r>
          </w:p>
        </w:tc>
      </w:tr>
      <w:tr w:rsidR="00C21FE7" w:rsidTr="00AB6EBF">
        <w:trPr>
          <w:trHeight w:val="21"/>
        </w:trPr>
        <w:tc>
          <w:tcPr>
            <w:tcW w:w="1359" w:type="dxa"/>
            <w:tcBorders>
              <w:top w:val="single" w:sz="4" w:space="0" w:color="auto"/>
            </w:tcBorders>
            <w:vAlign w:val="center"/>
          </w:tcPr>
          <w:p w:rsidR="00AB6EBF" w:rsidRPr="00C4056E" w:rsidRDefault="00AB6EBF" w:rsidP="00777F0A">
            <w:pPr>
              <w:contextualSpacing/>
              <w:jc w:val="center"/>
              <w:rPr>
                <w:rFonts w:eastAsia="Times New Roman"/>
                <w:bCs/>
                <w:color w:val="000000"/>
                <w:sz w:val="20"/>
                <w:szCs w:val="18"/>
              </w:rPr>
            </w:pPr>
          </w:p>
        </w:tc>
        <w:tc>
          <w:tcPr>
            <w:tcW w:w="1120" w:type="dxa"/>
            <w:tcBorders>
              <w:top w:val="single" w:sz="4" w:space="0" w:color="auto"/>
            </w:tcBorders>
            <w:vAlign w:val="center"/>
          </w:tcPr>
          <w:p w:rsidR="00AB6EBF" w:rsidRPr="00C4056E" w:rsidRDefault="00AB6EBF" w:rsidP="00777F0A">
            <w:pPr>
              <w:contextualSpacing/>
              <w:jc w:val="center"/>
              <w:rPr>
                <w:rFonts w:eastAsia="Times New Roman"/>
                <w:color w:val="000000"/>
                <w:sz w:val="20"/>
                <w:szCs w:val="18"/>
              </w:rPr>
            </w:pPr>
          </w:p>
        </w:tc>
        <w:tc>
          <w:tcPr>
            <w:tcW w:w="1848" w:type="dxa"/>
            <w:tcBorders>
              <w:top w:val="single" w:sz="4" w:space="0" w:color="auto"/>
            </w:tcBorders>
            <w:vAlign w:val="center"/>
          </w:tcPr>
          <w:p w:rsidR="00AB6EBF" w:rsidRPr="00C4056E" w:rsidRDefault="00AB6EBF" w:rsidP="00777F0A">
            <w:pPr>
              <w:jc w:val="center"/>
              <w:rPr>
                <w:sz w:val="20"/>
                <w:szCs w:val="18"/>
              </w:rPr>
            </w:pPr>
          </w:p>
        </w:tc>
      </w:tr>
      <w:tr w:rsidR="00C21FE7" w:rsidTr="00AB6EBF">
        <w:trPr>
          <w:trHeight w:val="21"/>
        </w:trPr>
        <w:tc>
          <w:tcPr>
            <w:tcW w:w="1359" w:type="dxa"/>
            <w:vAlign w:val="center"/>
            <w:hideMark/>
          </w:tcPr>
          <w:p w:rsidR="00C4056E" w:rsidRPr="00C4056E" w:rsidRDefault="00AE4C26" w:rsidP="00777F0A">
            <w:pPr>
              <w:contextualSpacing/>
              <w:jc w:val="center"/>
              <w:rPr>
                <w:rFonts w:eastAsia="Times New Roman"/>
                <w:bCs/>
                <w:color w:val="000000"/>
                <w:sz w:val="20"/>
                <w:szCs w:val="18"/>
              </w:rPr>
            </w:pPr>
            <w:r w:rsidRPr="00C4056E">
              <w:rPr>
                <w:rFonts w:eastAsia="Times New Roman"/>
                <w:bCs/>
                <w:color w:val="000000"/>
                <w:sz w:val="20"/>
                <w:szCs w:val="18"/>
              </w:rPr>
              <w:t>1</w:t>
            </w:r>
          </w:p>
        </w:tc>
        <w:tc>
          <w:tcPr>
            <w:tcW w:w="1120" w:type="dxa"/>
            <w:vAlign w:val="center"/>
          </w:tcPr>
          <w:p w:rsidR="00C4056E" w:rsidRPr="00C4056E" w:rsidRDefault="00AE4C26" w:rsidP="00777F0A">
            <w:pPr>
              <w:contextualSpacing/>
              <w:jc w:val="center"/>
              <w:rPr>
                <w:rFonts w:eastAsia="Times New Roman"/>
                <w:color w:val="000000"/>
                <w:sz w:val="20"/>
                <w:szCs w:val="18"/>
              </w:rPr>
            </w:pPr>
            <w:r w:rsidRPr="00C4056E">
              <w:rPr>
                <w:rFonts w:eastAsia="Times New Roman"/>
                <w:color w:val="000000"/>
                <w:sz w:val="20"/>
                <w:szCs w:val="18"/>
              </w:rPr>
              <w:t>ARIMA</w:t>
            </w:r>
          </w:p>
        </w:tc>
        <w:tc>
          <w:tcPr>
            <w:tcW w:w="1848" w:type="dxa"/>
            <w:vAlign w:val="center"/>
          </w:tcPr>
          <w:p w:rsidR="00C4056E" w:rsidRPr="00C4056E" w:rsidRDefault="00AE4C26" w:rsidP="00777F0A">
            <w:pPr>
              <w:jc w:val="center"/>
              <w:rPr>
                <w:sz w:val="20"/>
                <w:szCs w:val="18"/>
              </w:rPr>
            </w:pPr>
            <w:r w:rsidRPr="00C4056E">
              <w:rPr>
                <w:sz w:val="20"/>
                <w:szCs w:val="18"/>
              </w:rPr>
              <w:t>43.54</w:t>
            </w:r>
          </w:p>
        </w:tc>
      </w:tr>
      <w:tr w:rsidR="00C21FE7" w:rsidTr="00AB6EBF">
        <w:trPr>
          <w:trHeight w:val="21"/>
        </w:trPr>
        <w:tc>
          <w:tcPr>
            <w:tcW w:w="1359" w:type="dxa"/>
            <w:vAlign w:val="center"/>
            <w:hideMark/>
          </w:tcPr>
          <w:p w:rsidR="00C4056E" w:rsidRPr="00C4056E" w:rsidRDefault="00AE4C26" w:rsidP="00777F0A">
            <w:pPr>
              <w:contextualSpacing/>
              <w:jc w:val="center"/>
              <w:rPr>
                <w:rFonts w:eastAsia="Times New Roman"/>
                <w:color w:val="000000"/>
                <w:sz w:val="20"/>
                <w:szCs w:val="18"/>
              </w:rPr>
            </w:pPr>
            <w:r w:rsidRPr="00C4056E">
              <w:rPr>
                <w:rFonts w:eastAsia="Times New Roman"/>
                <w:color w:val="000000"/>
                <w:sz w:val="20"/>
                <w:szCs w:val="18"/>
              </w:rPr>
              <w:t>2</w:t>
            </w:r>
          </w:p>
        </w:tc>
        <w:tc>
          <w:tcPr>
            <w:tcW w:w="1120" w:type="dxa"/>
            <w:vAlign w:val="center"/>
          </w:tcPr>
          <w:p w:rsidR="00C4056E" w:rsidRPr="00C4056E" w:rsidRDefault="00AE4C26" w:rsidP="00777F0A">
            <w:pPr>
              <w:contextualSpacing/>
              <w:jc w:val="center"/>
              <w:rPr>
                <w:sz w:val="20"/>
                <w:szCs w:val="18"/>
              </w:rPr>
            </w:pPr>
            <w:r w:rsidRPr="00C4056E">
              <w:rPr>
                <w:sz w:val="20"/>
                <w:szCs w:val="18"/>
              </w:rPr>
              <w:t>ETS</w:t>
            </w:r>
          </w:p>
        </w:tc>
        <w:tc>
          <w:tcPr>
            <w:tcW w:w="1848" w:type="dxa"/>
            <w:vAlign w:val="center"/>
          </w:tcPr>
          <w:p w:rsidR="00C4056E" w:rsidRPr="00C4056E" w:rsidRDefault="00AE4C26" w:rsidP="00777F0A">
            <w:pPr>
              <w:jc w:val="center"/>
              <w:rPr>
                <w:sz w:val="20"/>
                <w:szCs w:val="18"/>
              </w:rPr>
            </w:pPr>
            <w:r w:rsidRPr="00C4056E">
              <w:rPr>
                <w:sz w:val="20"/>
                <w:szCs w:val="18"/>
              </w:rPr>
              <w:t>35.50</w:t>
            </w:r>
          </w:p>
        </w:tc>
      </w:tr>
      <w:tr w:rsidR="00C21FE7" w:rsidTr="00AB6EBF">
        <w:trPr>
          <w:trHeight w:val="21"/>
        </w:trPr>
        <w:tc>
          <w:tcPr>
            <w:tcW w:w="1359" w:type="dxa"/>
            <w:vAlign w:val="center"/>
          </w:tcPr>
          <w:p w:rsidR="00C4056E" w:rsidRPr="00C4056E" w:rsidRDefault="00AE4C26" w:rsidP="00777F0A">
            <w:pPr>
              <w:contextualSpacing/>
              <w:jc w:val="center"/>
              <w:rPr>
                <w:rFonts w:eastAsia="Times New Roman"/>
                <w:color w:val="000000"/>
                <w:sz w:val="20"/>
                <w:szCs w:val="18"/>
              </w:rPr>
            </w:pPr>
            <w:r w:rsidRPr="00C4056E">
              <w:rPr>
                <w:rFonts w:eastAsia="Times New Roman"/>
                <w:color w:val="000000"/>
                <w:sz w:val="20"/>
                <w:szCs w:val="18"/>
              </w:rPr>
              <w:t>3</w:t>
            </w:r>
          </w:p>
        </w:tc>
        <w:tc>
          <w:tcPr>
            <w:tcW w:w="1120" w:type="dxa"/>
            <w:vAlign w:val="center"/>
          </w:tcPr>
          <w:p w:rsidR="00C4056E" w:rsidRPr="00C4056E" w:rsidRDefault="00AE4C26" w:rsidP="00777F0A">
            <w:pPr>
              <w:contextualSpacing/>
              <w:jc w:val="center"/>
              <w:rPr>
                <w:sz w:val="20"/>
                <w:szCs w:val="18"/>
              </w:rPr>
            </w:pPr>
            <w:r w:rsidRPr="00C4056E">
              <w:rPr>
                <w:sz w:val="20"/>
                <w:szCs w:val="18"/>
              </w:rPr>
              <w:t>LR-lag</w:t>
            </w:r>
          </w:p>
        </w:tc>
        <w:tc>
          <w:tcPr>
            <w:tcW w:w="1848" w:type="dxa"/>
            <w:vAlign w:val="center"/>
          </w:tcPr>
          <w:p w:rsidR="00C4056E" w:rsidRPr="00C4056E" w:rsidRDefault="00AE4C26" w:rsidP="00777F0A">
            <w:pPr>
              <w:jc w:val="center"/>
              <w:rPr>
                <w:sz w:val="20"/>
                <w:szCs w:val="18"/>
              </w:rPr>
            </w:pPr>
            <w:r w:rsidRPr="00C4056E">
              <w:rPr>
                <w:sz w:val="20"/>
                <w:szCs w:val="18"/>
              </w:rPr>
              <w:t>49.98</w:t>
            </w:r>
          </w:p>
        </w:tc>
      </w:tr>
      <w:tr w:rsidR="00C21FE7" w:rsidTr="00AB6EBF">
        <w:trPr>
          <w:trHeight w:val="21"/>
        </w:trPr>
        <w:tc>
          <w:tcPr>
            <w:tcW w:w="1359" w:type="dxa"/>
            <w:vAlign w:val="center"/>
          </w:tcPr>
          <w:p w:rsidR="00AB6EBF" w:rsidRPr="00C4056E" w:rsidRDefault="00AB6EBF" w:rsidP="00777F0A">
            <w:pPr>
              <w:contextualSpacing/>
              <w:jc w:val="center"/>
              <w:rPr>
                <w:rFonts w:eastAsia="Times New Roman"/>
                <w:color w:val="000000"/>
                <w:sz w:val="20"/>
                <w:szCs w:val="18"/>
              </w:rPr>
            </w:pPr>
          </w:p>
        </w:tc>
        <w:tc>
          <w:tcPr>
            <w:tcW w:w="1120" w:type="dxa"/>
            <w:vAlign w:val="center"/>
          </w:tcPr>
          <w:p w:rsidR="00AB6EBF" w:rsidRPr="00C4056E" w:rsidRDefault="00AB6EBF" w:rsidP="00777F0A">
            <w:pPr>
              <w:contextualSpacing/>
              <w:jc w:val="center"/>
              <w:rPr>
                <w:sz w:val="20"/>
                <w:szCs w:val="18"/>
              </w:rPr>
            </w:pPr>
          </w:p>
        </w:tc>
        <w:tc>
          <w:tcPr>
            <w:tcW w:w="1848" w:type="dxa"/>
            <w:vAlign w:val="center"/>
          </w:tcPr>
          <w:p w:rsidR="00AB6EBF" w:rsidRPr="00C4056E" w:rsidRDefault="00AB6EBF" w:rsidP="00777F0A">
            <w:pPr>
              <w:jc w:val="center"/>
              <w:rPr>
                <w:sz w:val="20"/>
                <w:szCs w:val="18"/>
              </w:rPr>
            </w:pPr>
          </w:p>
        </w:tc>
      </w:tr>
    </w:tbl>
    <w:p w:rsidR="00C4056E" w:rsidRPr="00C4056E" w:rsidRDefault="00F0227D" w:rsidP="00C4056E">
      <w:pPr>
        <w:pStyle w:val="Author"/>
        <w:spacing w:before="0" w:after="0" w:line="240" w:lineRule="auto"/>
        <w:jc w:val="both"/>
        <w:rPr>
          <w:b/>
          <w:sz w:val="20"/>
          <w:szCs w:val="18"/>
        </w:rPr>
      </w:pPr>
      <w:r>
        <w:rPr>
          <w:b/>
          <w:noProof/>
          <w:snapToGrid/>
          <w:sz w:val="20"/>
          <w:szCs w:val="18"/>
        </w:rPr>
        <w:drawing>
          <wp:inline distT="0" distB="0" distL="0" distR="0">
            <wp:extent cx="3095625" cy="16205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6 new.jpg"/>
                    <pic:cNvPicPr/>
                  </pic:nvPicPr>
                  <pic:blipFill>
                    <a:blip r:embed="rId22"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3">
                              <a14:imgEffect>
                                <a14:sharpenSoften amount="25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95625" cy="1620520"/>
                    </a:xfrm>
                    <a:prstGeom prst="rect">
                      <a:avLst/>
                    </a:prstGeom>
                  </pic:spPr>
                </pic:pic>
              </a:graphicData>
            </a:graphic>
          </wp:inline>
        </w:drawing>
      </w:r>
    </w:p>
    <w:p w:rsidR="00C4056E" w:rsidRPr="00C4056E" w:rsidRDefault="00AE4C26" w:rsidP="00C4056E">
      <w:pPr>
        <w:jc w:val="both"/>
        <w:rPr>
          <w:color w:val="FF0000"/>
          <w:sz w:val="20"/>
          <w:szCs w:val="18"/>
        </w:rPr>
      </w:pPr>
      <w:r w:rsidRPr="00103CB4">
        <w:rPr>
          <w:b/>
          <w:i/>
          <w:sz w:val="20"/>
          <w:szCs w:val="18"/>
        </w:rPr>
        <w:t>Fig. 6</w:t>
      </w:r>
      <w:r w:rsidR="00103CB4">
        <w:rPr>
          <w:sz w:val="20"/>
          <w:szCs w:val="18"/>
        </w:rPr>
        <w:t>.</w:t>
      </w:r>
      <w:r w:rsidRPr="00C4056E">
        <w:rPr>
          <w:i/>
          <w:color w:val="000000" w:themeColor="text1"/>
          <w:sz w:val="20"/>
          <w:szCs w:val="18"/>
        </w:rPr>
        <w:t>RMSE of ARIMA, ETS, LR-lag, RFM, and MLP</w:t>
      </w:r>
    </w:p>
    <w:p w:rsidR="00777F0A" w:rsidRDefault="00AE4C26" w:rsidP="00777F0A">
      <w:pPr>
        <w:pStyle w:val="Author"/>
        <w:spacing w:before="0" w:after="0" w:line="240" w:lineRule="auto"/>
        <w:jc w:val="both"/>
        <w:rPr>
          <w:sz w:val="18"/>
          <w:szCs w:val="18"/>
        </w:rPr>
      </w:pPr>
      <w:r>
        <w:rPr>
          <w:noProof/>
          <w:snapToGrid/>
          <w:sz w:val="18"/>
          <w:szCs w:val="18"/>
        </w:rPr>
        <w:drawing>
          <wp:inline distT="0" distB="0" distL="0" distR="0">
            <wp:extent cx="3012763" cy="1800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649944659" name="Fig. 7.jpg"/>
                    <pic:cNvPicPr/>
                  </pic:nvPicPr>
                  <pic:blipFill>
                    <a:blip r:embed="rId2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5">
                              <a14:imgEffect>
                                <a14:sharpenSoften amount="25000"/>
                              </a14:imgEffect>
                              <a14:imgEffect>
                                <a14:brightnessContrast brigh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2763" cy="1800000"/>
                    </a:xfrm>
                    <a:prstGeom prst="rect">
                      <a:avLst/>
                    </a:prstGeom>
                  </pic:spPr>
                </pic:pic>
              </a:graphicData>
            </a:graphic>
          </wp:inline>
        </w:drawing>
      </w:r>
    </w:p>
    <w:p w:rsidR="00777F0A" w:rsidRDefault="00AE4C26" w:rsidP="00777F0A">
      <w:pPr>
        <w:jc w:val="both"/>
        <w:rPr>
          <w:i/>
          <w:sz w:val="20"/>
          <w:szCs w:val="18"/>
        </w:rPr>
      </w:pPr>
      <w:r w:rsidRPr="00B118F7">
        <w:rPr>
          <w:b/>
          <w:i/>
          <w:sz w:val="20"/>
          <w:szCs w:val="18"/>
        </w:rPr>
        <w:t>Fig. 7</w:t>
      </w:r>
      <w:r w:rsidR="00B118F7" w:rsidRPr="00B118F7">
        <w:rPr>
          <w:b/>
          <w:i/>
          <w:sz w:val="20"/>
          <w:szCs w:val="18"/>
        </w:rPr>
        <w:t>.</w:t>
      </w:r>
      <w:r w:rsidRPr="00B118F7">
        <w:rPr>
          <w:i/>
          <w:sz w:val="20"/>
          <w:szCs w:val="18"/>
        </w:rPr>
        <w:t>Predicted no. of deaths using by MLP-lag</w:t>
      </w:r>
    </w:p>
    <w:p w:rsidR="00CC6023" w:rsidRDefault="00CC6023" w:rsidP="00777F0A">
      <w:pPr>
        <w:jc w:val="both"/>
        <w:rPr>
          <w:sz w:val="20"/>
          <w:szCs w:val="20"/>
        </w:rPr>
      </w:pPr>
    </w:p>
    <w:p w:rsidR="00CC19B8" w:rsidRDefault="00AE4C26" w:rsidP="00CC19B8">
      <w:pPr>
        <w:ind w:firstLine="567"/>
        <w:jc w:val="both"/>
        <w:rPr>
          <w:sz w:val="20"/>
          <w:szCs w:val="20"/>
        </w:rPr>
      </w:pPr>
      <w:r w:rsidRPr="00635D61">
        <w:rPr>
          <w:sz w:val="20"/>
          <w:szCs w:val="20"/>
        </w:rPr>
        <w:t>It is evident from Fig. 5 and Table 5 that all the three models, namely ARIMA, ETS, and LR-lag, exhibited trends upward. The ETS model showed the sharpest rise while the LR-lag has the lowest rising-rate amongst the three. Although the actual data showed a non-linear pattern, evident from the dotted line, the trends are moderately linear. The forecasting results of all the three models suggest that the number of deaths rises sharply with time with a lower bound estimate of approximately 2</w:t>
      </w:r>
      <w:r w:rsidR="00A20796">
        <w:rPr>
          <w:sz w:val="20"/>
          <w:szCs w:val="20"/>
        </w:rPr>
        <w:t>498</w:t>
      </w:r>
      <w:r w:rsidRPr="00635D61">
        <w:rPr>
          <w:sz w:val="20"/>
          <w:szCs w:val="20"/>
        </w:rPr>
        <w:t xml:space="preserve"> on Day 40 (LR-lag model) and an upper bound estimate of approximately 3</w:t>
      </w:r>
      <w:r w:rsidR="00486B02">
        <w:rPr>
          <w:sz w:val="20"/>
          <w:szCs w:val="20"/>
        </w:rPr>
        <w:t>5</w:t>
      </w:r>
      <w:r w:rsidRPr="00635D61">
        <w:rPr>
          <w:sz w:val="20"/>
          <w:szCs w:val="20"/>
        </w:rPr>
        <w:t>53 on day 40 (ETS model).</w:t>
      </w:r>
    </w:p>
    <w:p w:rsidR="00CC19B8" w:rsidRDefault="00AE4C26" w:rsidP="00CC19B8">
      <w:pPr>
        <w:ind w:firstLine="567"/>
        <w:jc w:val="both"/>
        <w:rPr>
          <w:sz w:val="20"/>
          <w:szCs w:val="20"/>
        </w:rPr>
      </w:pPr>
      <w:r w:rsidRPr="002152D1">
        <w:rPr>
          <w:sz w:val="20"/>
          <w:szCs w:val="20"/>
        </w:rPr>
        <w:t xml:space="preserve">It can be observed from Fig. 7 that the trend exhibited by the MLP-lag model is upward with a steep </w:t>
      </w:r>
      <w:r w:rsidR="009218A9" w:rsidRPr="002152D1">
        <w:rPr>
          <w:sz w:val="20"/>
          <w:szCs w:val="20"/>
        </w:rPr>
        <w:t>rise;</w:t>
      </w:r>
      <w:r w:rsidRPr="002152D1">
        <w:rPr>
          <w:sz w:val="20"/>
          <w:szCs w:val="20"/>
        </w:rPr>
        <w:t xml:space="preserve"> however unlike the ARIMA, ETS, and LR-lag models, it portrays a stepwise pattern. The MLP-lag model suggests that the number of deaths reaches 4808 approximately on the 40</w:t>
      </w:r>
      <w:r w:rsidRPr="00CC19B8">
        <w:rPr>
          <w:sz w:val="20"/>
          <w:szCs w:val="20"/>
          <w:vertAlign w:val="superscript"/>
        </w:rPr>
        <w:t>th</w:t>
      </w:r>
      <w:r>
        <w:rPr>
          <w:sz w:val="20"/>
          <w:szCs w:val="20"/>
        </w:rPr>
        <w:t xml:space="preserve"> day, i.e., 29</w:t>
      </w:r>
      <w:r w:rsidRPr="00CC19B8">
        <w:rPr>
          <w:sz w:val="20"/>
          <w:szCs w:val="20"/>
          <w:vertAlign w:val="superscript"/>
        </w:rPr>
        <w:t>th</w:t>
      </w:r>
      <w:r>
        <w:rPr>
          <w:sz w:val="20"/>
          <w:szCs w:val="20"/>
        </w:rPr>
        <w:t xml:space="preserve"> February</w:t>
      </w:r>
      <w:r w:rsidR="0098729B">
        <w:rPr>
          <w:sz w:val="20"/>
          <w:szCs w:val="20"/>
        </w:rPr>
        <w:t xml:space="preserve"> 2020</w:t>
      </w:r>
      <w:r>
        <w:rPr>
          <w:sz w:val="20"/>
          <w:szCs w:val="20"/>
        </w:rPr>
        <w:t>.</w:t>
      </w:r>
    </w:p>
    <w:p w:rsidR="00E634EB" w:rsidRPr="00531165" w:rsidRDefault="00AE4C26" w:rsidP="00E634EB">
      <w:pPr>
        <w:ind w:firstLine="567"/>
        <w:jc w:val="both"/>
        <w:rPr>
          <w:sz w:val="20"/>
          <w:szCs w:val="20"/>
        </w:rPr>
      </w:pPr>
      <w:r w:rsidRPr="00BF0FCF">
        <w:rPr>
          <w:sz w:val="20"/>
          <w:szCs w:val="20"/>
        </w:rPr>
        <w:t>The mathematical basis of the BATS model is given in (10).</w:t>
      </w:r>
    </w:p>
    <w:p w:rsidR="00E634EB" w:rsidRDefault="00E634EB" w:rsidP="00CC19B8">
      <w:pPr>
        <w:ind w:firstLine="567"/>
        <w:jc w:val="both"/>
        <w:rPr>
          <w:sz w:val="20"/>
          <w:szCs w:val="20"/>
        </w:rPr>
      </w:pPr>
    </w:p>
    <w:p w:rsidR="008F067A" w:rsidRDefault="00E80A5E" w:rsidP="00E634EB">
      <w:pPr>
        <w:pStyle w:val="IETParagraph"/>
        <w:spacing w:line="240" w:lineRule="auto"/>
        <w:rPr>
          <w:sz w:val="20"/>
          <w:szCs w:val="20"/>
        </w:rPr>
      </w:pPr>
      <m:oMath>
        <m:sSubSup>
          <m:sSubSupPr>
            <m:ctrlPr>
              <w:rPr>
                <w:rFonts w:ascii="Cambria Math" w:hAnsi="Cambria Math"/>
                <w:sz w:val="20"/>
                <w:szCs w:val="20"/>
              </w:rPr>
            </m:ctrlPr>
          </m:sSubSupPr>
          <m:e>
            <m:r>
              <m:rPr>
                <m:sty m:val="p"/>
              </m:rPr>
              <w:rPr>
                <w:rFonts w:ascii="Cambria Math" w:hAnsi="Cambria Math"/>
                <w:sz w:val="20"/>
                <w:szCs w:val="20"/>
              </w:rPr>
              <m:t>y</m:t>
            </m:r>
          </m:e>
          <m:sub>
            <m:r>
              <m:rPr>
                <m:sty m:val="p"/>
              </m:rPr>
              <w:rPr>
                <w:rFonts w:ascii="Cambria Math" w:hAnsi="Cambria Math"/>
                <w:sz w:val="20"/>
                <w:szCs w:val="20"/>
              </w:rPr>
              <m:t>t</m:t>
            </m:r>
          </m:sub>
          <m:sup>
            <m:d>
              <m:dPr>
                <m:ctrlPr>
                  <w:rPr>
                    <w:rFonts w:ascii="Cambria Math" w:hAnsi="Cambria Math"/>
                    <w:sz w:val="20"/>
                    <w:szCs w:val="20"/>
                  </w:rPr>
                </m:ctrlPr>
              </m:dPr>
              <m:e>
                <m:r>
                  <m:rPr>
                    <m:sty m:val="p"/>
                  </m:rPr>
                  <w:rPr>
                    <w:rFonts w:ascii="Cambria Math" w:hAnsi="Cambria Math"/>
                    <w:sz w:val="20"/>
                    <w:szCs w:val="20"/>
                  </w:rPr>
                  <m:t>ω</m:t>
                </m:r>
              </m:e>
            </m:d>
          </m:sup>
        </m:sSubSup>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t-1</m:t>
            </m:r>
          </m:sub>
        </m:sSub>
        <m:r>
          <m:rPr>
            <m:sty m:val="p"/>
          </m:rPr>
          <w:rPr>
            <w:rFonts w:ascii="Cambria Math" w:hAnsi="Cambria Math"/>
            <w:sz w:val="20"/>
            <w:szCs w:val="20"/>
          </w:rPr>
          <m:t>+ ∅</m:t>
        </m:r>
        <m:sSub>
          <m:sSubPr>
            <m:ctrlPr>
              <w:rPr>
                <w:rFonts w:ascii="Cambria Math" w:hAnsi="Cambria Math"/>
                <w:sz w:val="20"/>
                <w:szCs w:val="20"/>
              </w:rPr>
            </m:ctrlPr>
          </m:sSubPr>
          <m:e>
            <m:r>
              <m:rPr>
                <m:sty m:val="p"/>
              </m:rPr>
              <w:rPr>
                <w:rFonts w:ascii="Cambria Math" w:hAnsi="Cambria Math"/>
                <w:sz w:val="20"/>
                <w:szCs w:val="20"/>
              </w:rPr>
              <m:t>b</m:t>
            </m:r>
          </m:e>
          <m:sub>
            <m:r>
              <m:rPr>
                <m:sty m:val="p"/>
              </m:rPr>
              <w:rPr>
                <w:rFonts w:ascii="Cambria Math" w:hAnsi="Cambria Math"/>
                <w:sz w:val="20"/>
                <w:szCs w:val="20"/>
              </w:rPr>
              <m:t>t-1</m:t>
            </m:r>
          </m:sub>
        </m:sSub>
        <m:r>
          <m:rPr>
            <m:sty m:val="p"/>
          </m:rPr>
          <w:rPr>
            <w:rFonts w:ascii="Cambria Math" w:hAnsi="Cambria Math"/>
            <w:sz w:val="20"/>
            <w:szCs w:val="20"/>
          </w:rPr>
          <m:t xml:space="preserve">+ </m:t>
        </m:r>
        <m:nary>
          <m:naryPr>
            <m:chr m:val="∑"/>
            <m:limLoc m:val="subSup"/>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M</m:t>
            </m:r>
          </m:sup>
          <m:e>
            <m:sSubSup>
              <m:sSubSupPr>
                <m:ctrlPr>
                  <w:rPr>
                    <w:rFonts w:ascii="Cambria Math" w:hAnsi="Cambria Math"/>
                    <w:sz w:val="20"/>
                    <w:szCs w:val="20"/>
                  </w:rPr>
                </m:ctrlPr>
              </m:sSubSupPr>
              <m:e>
                <m:r>
                  <m:rPr>
                    <m:sty m:val="p"/>
                  </m:rPr>
                  <w:rPr>
                    <w:rFonts w:ascii="Cambria Math" w:hAnsi="Cambria Math"/>
                    <w:sz w:val="20"/>
                    <w:szCs w:val="20"/>
                  </w:rPr>
                  <m:t>s</m:t>
                </m:r>
              </m:e>
              <m:sub>
                <m:r>
                  <m:rPr>
                    <m:sty m:val="p"/>
                  </m:rPr>
                  <w:rPr>
                    <w:rFonts w:ascii="Cambria Math" w:hAnsi="Cambria Math"/>
                    <w:sz w:val="20"/>
                    <w:szCs w:val="20"/>
                  </w:rPr>
                  <m:t>t-</m:t>
                </m:r>
                <m:sSub>
                  <m:sSubPr>
                    <m:ctrlPr>
                      <w:rPr>
                        <w:rFonts w:ascii="Cambria Math" w:hAnsi="Cambria Math"/>
                        <w:sz w:val="20"/>
                        <w:szCs w:val="20"/>
                      </w:rPr>
                    </m:ctrlPr>
                  </m:sSubPr>
                  <m:e>
                    <m:r>
                      <m:rPr>
                        <m:sty m:val="p"/>
                      </m:rPr>
                      <w:rPr>
                        <w:rFonts w:ascii="Cambria Math" w:hAnsi="Cambria Math"/>
                        <w:sz w:val="20"/>
                        <w:szCs w:val="20"/>
                      </w:rPr>
                      <m:t>m</m:t>
                    </m:r>
                  </m:e>
                  <m:sub>
                    <m:r>
                      <m:rPr>
                        <m:sty m:val="p"/>
                      </m:rPr>
                      <w:rPr>
                        <w:rFonts w:ascii="Cambria Math" w:hAnsi="Cambria Math"/>
                        <w:sz w:val="20"/>
                        <w:szCs w:val="20"/>
                      </w:rPr>
                      <m:t>i</m:t>
                    </m:r>
                  </m:sub>
                </m:sSub>
              </m:sub>
              <m:sup>
                <m:d>
                  <m:dPr>
                    <m:ctrlPr>
                      <w:rPr>
                        <w:rFonts w:ascii="Cambria Math" w:hAnsi="Cambria Math"/>
                        <w:sz w:val="20"/>
                        <w:szCs w:val="20"/>
                      </w:rPr>
                    </m:ctrlPr>
                  </m:dPr>
                  <m:e>
                    <m:r>
                      <m:rPr>
                        <m:sty m:val="p"/>
                      </m:rPr>
                      <w:rPr>
                        <w:rFonts w:ascii="Cambria Math" w:hAnsi="Cambria Math"/>
                        <w:sz w:val="20"/>
                        <w:szCs w:val="20"/>
                      </w:rPr>
                      <m:t>i</m:t>
                    </m:r>
                  </m:e>
                </m:d>
              </m:sup>
            </m:sSubSup>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t</m:t>
                </m:r>
              </m:sub>
            </m:sSub>
          </m:e>
        </m:nary>
      </m:oMath>
      <w:r w:rsidR="00AE4C26" w:rsidRPr="00E634EB">
        <w:rPr>
          <w:sz w:val="20"/>
          <w:szCs w:val="20"/>
        </w:rPr>
        <w:tab/>
        <w:t>(10)</w:t>
      </w:r>
    </w:p>
    <w:p w:rsidR="00E634EB" w:rsidRPr="00E634EB" w:rsidRDefault="00E634EB" w:rsidP="00E634EB">
      <w:pPr>
        <w:pStyle w:val="IETParagraph"/>
        <w:spacing w:line="240" w:lineRule="auto"/>
        <w:rPr>
          <w:sz w:val="20"/>
          <w:szCs w:val="20"/>
        </w:rPr>
      </w:pPr>
    </w:p>
    <w:p w:rsidR="008F067A" w:rsidRDefault="00AE4C26" w:rsidP="00E634EB">
      <w:pPr>
        <w:ind w:firstLine="567"/>
        <w:jc w:val="both"/>
        <w:rPr>
          <w:rFonts w:eastAsiaTheme="minorEastAsia"/>
          <w:sz w:val="20"/>
          <w:szCs w:val="20"/>
        </w:rPr>
      </w:pPr>
      <w:r w:rsidRPr="00D034DE">
        <w:rPr>
          <w:rFonts w:eastAsiaTheme="minorEastAsia"/>
          <w:sz w:val="20"/>
          <w:szCs w:val="20"/>
        </w:rPr>
        <w:t xml:space="preserve">In (10),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t</m:t>
            </m:r>
          </m:sub>
          <m:sup>
            <m:d>
              <m:dPr>
                <m:ctrlPr>
                  <w:rPr>
                    <w:rFonts w:ascii="Cambria Math" w:hAnsi="Cambria Math"/>
                    <w:i/>
                    <w:sz w:val="20"/>
                    <w:szCs w:val="20"/>
                  </w:rPr>
                </m:ctrlPr>
              </m:dPr>
              <m:e>
                <m:r>
                  <w:rPr>
                    <w:rFonts w:ascii="Cambria Math" w:hAnsi="Cambria Math"/>
                    <w:sz w:val="20"/>
                    <w:szCs w:val="20"/>
                  </w:rPr>
                  <m:t>ω</m:t>
                </m:r>
              </m:e>
            </m:d>
          </m:sup>
        </m:sSubSup>
      </m:oMath>
      <w:r>
        <w:rPr>
          <w:rFonts w:eastAsiaTheme="minorEastAsia"/>
          <w:sz w:val="20"/>
          <w:szCs w:val="20"/>
        </w:rPr>
        <w:t>is</w:t>
      </w:r>
      <w:r w:rsidRPr="00D034DE">
        <w:rPr>
          <w:rFonts w:eastAsiaTheme="minorEastAsia"/>
          <w:sz w:val="20"/>
          <w:szCs w:val="20"/>
        </w:rPr>
        <w:t xml:space="preserve"> the Box-Cox transformed time-series with parameter</w:t>
      </w:r>
      <m:oMath>
        <m:r>
          <w:rPr>
            <w:rFonts w:ascii="Cambria Math" w:eastAsiaTheme="minorEastAsia" w:hAnsi="Cambria Math"/>
            <w:sz w:val="20"/>
            <w:szCs w:val="20"/>
          </w:rPr>
          <m:t xml:space="preserve"> ω</m:t>
        </m:r>
      </m:oMath>
      <w:r w:rsidRPr="00D034DE">
        <w:rPr>
          <w:rFonts w:eastAsiaTheme="minorEastAsia"/>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t</m:t>
            </m:r>
          </m:sub>
        </m:sSub>
      </m:oMath>
      <w:r w:rsidRPr="00D034DE">
        <w:rPr>
          <w:rFonts w:eastAsiaTheme="minorEastAsia"/>
          <w:sz w:val="20"/>
          <w:szCs w:val="20"/>
        </w:rPr>
        <w:t xml:space="preserve"> denotes level component or local level,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t</m:t>
            </m:r>
          </m:sub>
        </m:sSub>
      </m:oMath>
      <w:r w:rsidRPr="00D034DE">
        <w:rPr>
          <w:rFonts w:eastAsiaTheme="minorEastAsia"/>
          <w:sz w:val="20"/>
          <w:szCs w:val="20"/>
        </w:rPr>
        <w:t xml:space="preserve"> denotes growth component, </w:t>
      </w:r>
      <m:oMath>
        <m:r>
          <w:rPr>
            <w:rFonts w:ascii="Cambria Math" w:hAnsi="Cambria Math"/>
            <w:sz w:val="20"/>
            <w:szCs w:val="20"/>
          </w:rPr>
          <m:t>∅</m:t>
        </m:r>
      </m:oMath>
      <w:r w:rsidRPr="00D034DE">
        <w:rPr>
          <w:rFonts w:eastAsiaTheme="minorEastAsia"/>
          <w:sz w:val="20"/>
          <w:szCs w:val="20"/>
        </w:rPr>
        <w:t xml:space="preserve"> denotes trend damping, </w:t>
      </w: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t</m:t>
            </m:r>
          </m:sub>
          <m:sup>
            <m:d>
              <m:dPr>
                <m:ctrlPr>
                  <w:rPr>
                    <w:rFonts w:ascii="Cambria Math" w:hAnsi="Cambria Math"/>
                    <w:i/>
                    <w:sz w:val="20"/>
                    <w:szCs w:val="20"/>
                  </w:rPr>
                </m:ctrlPr>
              </m:dPr>
              <m:e>
                <m:r>
                  <w:rPr>
                    <w:rFonts w:ascii="Cambria Math" w:hAnsi="Cambria Math"/>
                    <w:sz w:val="20"/>
                    <w:szCs w:val="20"/>
                  </w:rPr>
                  <m:t>i</m:t>
                </m:r>
              </m:e>
            </m:d>
          </m:sup>
        </m:sSubSup>
      </m:oMath>
      <w:r w:rsidRPr="00D034DE">
        <w:rPr>
          <w:rFonts w:eastAsiaTheme="minorEastAsia"/>
          <w:sz w:val="20"/>
          <w:szCs w:val="20"/>
        </w:rPr>
        <w:t>denotes the i</w:t>
      </w:r>
      <w:r w:rsidRPr="00D034DE">
        <w:rPr>
          <w:rFonts w:eastAsiaTheme="minorEastAsia"/>
          <w:sz w:val="20"/>
          <w:szCs w:val="20"/>
          <w:vertAlign w:val="superscript"/>
        </w:rPr>
        <w:t>th</w:t>
      </w:r>
      <w:r w:rsidRPr="00D034DE">
        <w:rPr>
          <w:rFonts w:eastAsiaTheme="minorEastAsia"/>
          <w:sz w:val="20"/>
          <w:szCs w:val="20"/>
        </w:rPr>
        <w:t xml:space="preserve"> seasonal component, M denotes overall seasons,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oMath>
      <w:r w:rsidRPr="00D034DE">
        <w:rPr>
          <w:rFonts w:eastAsiaTheme="minorEastAsia"/>
          <w:sz w:val="20"/>
          <w:szCs w:val="20"/>
        </w:rPr>
        <w:t xml:space="preserve"> denotes seasonal frequencies, and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oMath>
      <w:r w:rsidRPr="00D034DE">
        <w:rPr>
          <w:rFonts w:eastAsiaTheme="minorEastAsia"/>
          <w:sz w:val="20"/>
          <w:szCs w:val="20"/>
        </w:rPr>
        <w:t xml:space="preserve"> denotes irregular component or ARIMA (</w:t>
      </w:r>
      <w:r w:rsidRPr="00D034DE">
        <w:rPr>
          <w:rFonts w:eastAsiaTheme="minorEastAsia"/>
          <w:i/>
          <w:sz w:val="20"/>
          <w:szCs w:val="20"/>
        </w:rPr>
        <w:t>p, q</w:t>
      </w:r>
      <w:r w:rsidRPr="00D034DE">
        <w:rPr>
          <w:rFonts w:eastAsiaTheme="minorEastAsia"/>
          <w:sz w:val="20"/>
          <w:szCs w:val="20"/>
        </w:rPr>
        <w:t>) for errors.</w:t>
      </w:r>
    </w:p>
    <w:p w:rsidR="00CC715B" w:rsidRPr="00BF0FCF" w:rsidRDefault="00AE4C26" w:rsidP="00CC715B">
      <w:pPr>
        <w:ind w:firstLine="567"/>
        <w:jc w:val="both"/>
        <w:rPr>
          <w:rFonts w:eastAsia="Times New Roman"/>
          <w:color w:val="0E101A"/>
          <w:sz w:val="20"/>
          <w:szCs w:val="20"/>
        </w:rPr>
      </w:pPr>
      <w:r w:rsidRPr="00BF0FCF">
        <w:rPr>
          <w:rFonts w:eastAsia="Times New Roman"/>
          <w:color w:val="0E101A"/>
          <w:sz w:val="20"/>
          <w:szCs w:val="20"/>
        </w:rPr>
        <w:t>The BATS model has varied applications [</w:t>
      </w:r>
      <w:r w:rsidR="0041402C">
        <w:rPr>
          <w:rFonts w:eastAsia="Times New Roman"/>
          <w:color w:val="0E101A"/>
          <w:sz w:val="20"/>
          <w:szCs w:val="20"/>
        </w:rPr>
        <w:t>27</w:t>
      </w:r>
      <w:r w:rsidRPr="00BF0FCF">
        <w:rPr>
          <w:rFonts w:eastAsia="Times New Roman"/>
          <w:color w:val="0E101A"/>
          <w:sz w:val="20"/>
          <w:szCs w:val="20"/>
        </w:rPr>
        <w:t>]</w:t>
      </w:r>
      <w:r w:rsidR="006E5730">
        <w:rPr>
          <w:rFonts w:eastAsia="Times New Roman"/>
          <w:color w:val="0E101A"/>
          <w:sz w:val="20"/>
          <w:szCs w:val="20"/>
        </w:rPr>
        <w:t>,</w:t>
      </w:r>
      <w:r w:rsidRPr="00BF0FCF">
        <w:rPr>
          <w:rFonts w:eastAsia="Times New Roman"/>
          <w:color w:val="0E101A"/>
          <w:sz w:val="20"/>
          <w:szCs w:val="20"/>
        </w:rPr>
        <w:t xml:space="preserve"> as follows:</w:t>
      </w:r>
    </w:p>
    <w:p w:rsidR="00CC715B" w:rsidRPr="00BF0FCF" w:rsidRDefault="00AE4C26" w:rsidP="00144046">
      <w:pPr>
        <w:numPr>
          <w:ilvl w:val="0"/>
          <w:numId w:val="11"/>
        </w:numPr>
        <w:tabs>
          <w:tab w:val="clear" w:pos="720"/>
        </w:tabs>
        <w:ind w:left="357" w:hanging="357"/>
        <w:jc w:val="both"/>
        <w:rPr>
          <w:rFonts w:eastAsia="Times New Roman"/>
          <w:color w:val="0E101A"/>
          <w:sz w:val="20"/>
          <w:szCs w:val="20"/>
        </w:rPr>
      </w:pPr>
      <w:r w:rsidRPr="00BF0FCF">
        <w:rPr>
          <w:rFonts w:eastAsia="Times New Roman"/>
          <w:color w:val="0E101A"/>
          <w:sz w:val="20"/>
          <w:szCs w:val="20"/>
        </w:rPr>
        <w:t>It offers an effective means to deal with non-linear data by using the Box-Cox transformation. </w:t>
      </w:r>
    </w:p>
    <w:p w:rsidR="00CC715B" w:rsidRPr="00BF0FCF" w:rsidRDefault="00AE4C26" w:rsidP="00144046">
      <w:pPr>
        <w:numPr>
          <w:ilvl w:val="0"/>
          <w:numId w:val="11"/>
        </w:numPr>
        <w:tabs>
          <w:tab w:val="clear" w:pos="720"/>
        </w:tabs>
        <w:ind w:left="357" w:hanging="357"/>
        <w:jc w:val="both"/>
        <w:rPr>
          <w:rFonts w:eastAsia="Times New Roman"/>
          <w:color w:val="0E101A"/>
          <w:sz w:val="20"/>
          <w:szCs w:val="20"/>
        </w:rPr>
      </w:pPr>
      <w:r w:rsidRPr="00BF0FCF">
        <w:rPr>
          <w:rFonts w:eastAsia="Times New Roman"/>
          <w:color w:val="0E101A"/>
          <w:sz w:val="20"/>
          <w:szCs w:val="20"/>
        </w:rPr>
        <w:t>It can be prudently used to achieve a solution to the autocorrelation problem by introducing the ARMA model on errors.</w:t>
      </w:r>
    </w:p>
    <w:p w:rsidR="00CC715B" w:rsidRDefault="00AE4C26" w:rsidP="00144046">
      <w:pPr>
        <w:numPr>
          <w:ilvl w:val="0"/>
          <w:numId w:val="11"/>
        </w:numPr>
        <w:tabs>
          <w:tab w:val="clear" w:pos="720"/>
        </w:tabs>
        <w:ind w:left="357" w:hanging="357"/>
        <w:jc w:val="both"/>
        <w:rPr>
          <w:rFonts w:eastAsia="Times New Roman"/>
          <w:color w:val="0E101A"/>
          <w:sz w:val="20"/>
          <w:szCs w:val="20"/>
        </w:rPr>
      </w:pPr>
      <w:r w:rsidRPr="00BF0FCF">
        <w:rPr>
          <w:rFonts w:eastAsia="Times New Roman"/>
          <w:color w:val="0E101A"/>
          <w:sz w:val="20"/>
          <w:szCs w:val="20"/>
        </w:rPr>
        <w:t>It exhibits better performance than uncomplicated state-space models.</w:t>
      </w:r>
    </w:p>
    <w:p w:rsidR="00045034" w:rsidRDefault="009B004E" w:rsidP="00DE020A">
      <w:pPr>
        <w:ind w:firstLine="567"/>
        <w:jc w:val="both"/>
        <w:rPr>
          <w:rFonts w:eastAsiaTheme="minorEastAsia"/>
          <w:sz w:val="20"/>
          <w:szCs w:val="20"/>
        </w:rPr>
      </w:pPr>
      <w:r>
        <w:rPr>
          <w:rFonts w:eastAsiaTheme="minorEastAsia"/>
          <w:sz w:val="20"/>
          <w:szCs w:val="20"/>
        </w:rPr>
        <w:t>I</w:t>
      </w:r>
      <w:r w:rsidR="000215A2">
        <w:rPr>
          <w:rFonts w:eastAsiaTheme="minorEastAsia"/>
          <w:sz w:val="20"/>
          <w:szCs w:val="20"/>
        </w:rPr>
        <w:t xml:space="preserve">. </w:t>
      </w:r>
      <w:r w:rsidR="00AE4C26" w:rsidRPr="00EF4BD9">
        <w:rPr>
          <w:rFonts w:eastAsiaTheme="minorEastAsia"/>
          <w:sz w:val="20"/>
          <w:szCs w:val="20"/>
        </w:rPr>
        <w:t xml:space="preserve">Naim et al. </w:t>
      </w:r>
      <w:r w:rsidR="00DE7841" w:rsidRPr="00EF4BD9">
        <w:rPr>
          <w:rFonts w:eastAsiaTheme="minorEastAsia"/>
          <w:sz w:val="20"/>
          <w:szCs w:val="20"/>
        </w:rPr>
        <w:t>[</w:t>
      </w:r>
      <w:r w:rsidR="00DE7841">
        <w:rPr>
          <w:rFonts w:eastAsiaTheme="minorEastAsia"/>
          <w:sz w:val="20"/>
          <w:szCs w:val="20"/>
        </w:rPr>
        <w:t>28</w:t>
      </w:r>
      <w:r w:rsidR="00DE7841" w:rsidRPr="00EF4BD9">
        <w:rPr>
          <w:rFonts w:eastAsiaTheme="minorEastAsia"/>
          <w:sz w:val="20"/>
          <w:szCs w:val="20"/>
        </w:rPr>
        <w:t>]</w:t>
      </w:r>
      <w:r w:rsidR="00AE4C26" w:rsidRPr="00EF4BD9">
        <w:rPr>
          <w:rFonts w:eastAsiaTheme="minorEastAsia"/>
          <w:sz w:val="20"/>
          <w:szCs w:val="20"/>
        </w:rPr>
        <w:t>used BATS and Trigonometric BATS (</w:t>
      </w:r>
      <w:r w:rsidR="00AE4C26" w:rsidRPr="003A06B9">
        <w:rPr>
          <w:rFonts w:eastAsiaTheme="minorEastAsia"/>
          <w:b/>
          <w:sz w:val="20"/>
          <w:szCs w:val="20"/>
        </w:rPr>
        <w:t>TBATS</w:t>
      </w:r>
      <w:r w:rsidR="00AE4C26" w:rsidRPr="00EF4BD9">
        <w:rPr>
          <w:rFonts w:eastAsiaTheme="minorEastAsia"/>
          <w:sz w:val="20"/>
          <w:szCs w:val="20"/>
        </w:rPr>
        <w:t xml:space="preserve">) models to forecast daily time series data of BHEL, India. In a similar work, </w:t>
      </w:r>
      <w:r w:rsidR="006C61B4">
        <w:rPr>
          <w:rFonts w:eastAsiaTheme="minorEastAsia"/>
          <w:sz w:val="20"/>
          <w:szCs w:val="20"/>
        </w:rPr>
        <w:t xml:space="preserve">N. </w:t>
      </w:r>
      <w:r w:rsidR="00AE4C26" w:rsidRPr="00EF4BD9">
        <w:rPr>
          <w:rFonts w:eastAsiaTheme="minorEastAsia"/>
          <w:sz w:val="20"/>
          <w:szCs w:val="20"/>
        </w:rPr>
        <w:t xml:space="preserve">Phumchusri and </w:t>
      </w:r>
      <w:r w:rsidR="006C61B4">
        <w:rPr>
          <w:rFonts w:eastAsiaTheme="minorEastAsia"/>
          <w:sz w:val="20"/>
          <w:szCs w:val="20"/>
        </w:rPr>
        <w:t xml:space="preserve">P. </w:t>
      </w:r>
      <w:r w:rsidR="00AE4C26" w:rsidRPr="00EF4BD9">
        <w:rPr>
          <w:rFonts w:eastAsiaTheme="minorEastAsia"/>
          <w:sz w:val="20"/>
          <w:szCs w:val="20"/>
        </w:rPr>
        <w:t>Ungtrakul</w:t>
      </w:r>
      <w:r w:rsidR="00782B8E" w:rsidRPr="00EF4BD9">
        <w:rPr>
          <w:rFonts w:eastAsiaTheme="minorEastAsia"/>
          <w:sz w:val="20"/>
          <w:szCs w:val="20"/>
        </w:rPr>
        <w:t>[</w:t>
      </w:r>
      <w:r w:rsidR="00782B8E">
        <w:rPr>
          <w:rFonts w:eastAsiaTheme="minorEastAsia"/>
          <w:sz w:val="20"/>
          <w:szCs w:val="20"/>
        </w:rPr>
        <w:t>29</w:t>
      </w:r>
      <w:r w:rsidR="00782B8E" w:rsidRPr="00EF4BD9">
        <w:rPr>
          <w:rFonts w:eastAsiaTheme="minorEastAsia"/>
          <w:sz w:val="20"/>
          <w:szCs w:val="20"/>
        </w:rPr>
        <w:t>]</w:t>
      </w:r>
      <w:r w:rsidR="00AE4C26" w:rsidRPr="00EF4BD9">
        <w:rPr>
          <w:rFonts w:eastAsiaTheme="minorEastAsia"/>
          <w:sz w:val="20"/>
          <w:szCs w:val="20"/>
        </w:rPr>
        <w:t xml:space="preserve">had used BATS, </w:t>
      </w:r>
      <w:r w:rsidR="00AE4C26" w:rsidRPr="003A06B9">
        <w:rPr>
          <w:rFonts w:eastAsiaTheme="minorEastAsia"/>
          <w:sz w:val="20"/>
          <w:szCs w:val="20"/>
        </w:rPr>
        <w:t>TBATS</w:t>
      </w:r>
      <w:r w:rsidR="00AE4C26" w:rsidRPr="00EF4BD9">
        <w:rPr>
          <w:rFonts w:eastAsiaTheme="minorEastAsia"/>
          <w:sz w:val="20"/>
          <w:szCs w:val="20"/>
        </w:rPr>
        <w:t xml:space="preserve">models to forecast daily hotel demands in Phuket, Thailand.We have used the </w:t>
      </w:r>
      <w:r w:rsidR="0055433B">
        <w:rPr>
          <w:rFonts w:eastAsiaTheme="minorEastAsia"/>
          <w:b/>
          <w:sz w:val="20"/>
          <w:szCs w:val="20"/>
        </w:rPr>
        <w:t>bats</w:t>
      </w:r>
      <w:r w:rsidR="0055433B" w:rsidRPr="00EF4BD9">
        <w:rPr>
          <w:rFonts w:eastAsiaTheme="minorEastAsia"/>
          <w:b/>
          <w:sz w:val="20"/>
          <w:szCs w:val="20"/>
        </w:rPr>
        <w:t xml:space="preserve"> (</w:t>
      </w:r>
      <w:r w:rsidR="00AE4C26" w:rsidRPr="00EF4BD9">
        <w:rPr>
          <w:rFonts w:eastAsiaTheme="minorEastAsia"/>
          <w:b/>
          <w:sz w:val="20"/>
          <w:szCs w:val="20"/>
        </w:rPr>
        <w:t>)</w:t>
      </w:r>
      <w:r w:rsidR="00AE4C26" w:rsidRPr="00EF4BD9">
        <w:rPr>
          <w:rFonts w:eastAsiaTheme="minorEastAsia"/>
          <w:sz w:val="20"/>
          <w:szCs w:val="20"/>
        </w:rPr>
        <w:t xml:space="preserve"> of the forecast package of R software to develop the BATS model [13], [14] and [15]. The BATS model has been developed using the Box-Cox transformation, ARMA errors, and damped trends.</w:t>
      </w:r>
      <w:r w:rsidR="00AE4C26" w:rsidRPr="00DE020A">
        <w:rPr>
          <w:rFonts w:eastAsiaTheme="minorEastAsia"/>
          <w:sz w:val="20"/>
          <w:szCs w:val="20"/>
        </w:rPr>
        <w:t>We achieved an in-sample RMSE of 29.27 for the BATS model.</w:t>
      </w:r>
      <w:r w:rsidR="00B11888">
        <w:rPr>
          <w:rFonts w:eastAsiaTheme="minorEastAsia"/>
          <w:sz w:val="20"/>
          <w:szCs w:val="20"/>
        </w:rPr>
        <w:t xml:space="preserve"> The death estimates using the BATS model is shown in Fig. </w:t>
      </w:r>
      <w:r w:rsidR="00AE4C26">
        <w:rPr>
          <w:rFonts w:eastAsiaTheme="minorEastAsia"/>
          <w:sz w:val="20"/>
          <w:szCs w:val="20"/>
        </w:rPr>
        <w:t>8</w:t>
      </w:r>
      <w:r w:rsidR="006E5730">
        <w:rPr>
          <w:rFonts w:eastAsiaTheme="minorEastAsia"/>
          <w:sz w:val="20"/>
          <w:szCs w:val="20"/>
        </w:rPr>
        <w:t xml:space="preserve"> where it is evident that </w:t>
      </w:r>
      <w:r w:rsidR="006E5730" w:rsidRPr="009E00EE">
        <w:rPr>
          <w:rFonts w:eastAsia="Times New Roman"/>
          <w:color w:val="0E101A"/>
          <w:sz w:val="20"/>
          <w:szCs w:val="20"/>
        </w:rPr>
        <w:t>the BATS model exhibits a very sharp rise in no. of deaths with time. The trend of the forecast values is approximately linear. The number of death on the 40th day is approximately 442</w:t>
      </w:r>
      <w:r w:rsidR="00CC3017">
        <w:rPr>
          <w:rFonts w:eastAsia="Times New Roman"/>
          <w:color w:val="0E101A"/>
          <w:sz w:val="20"/>
          <w:szCs w:val="20"/>
        </w:rPr>
        <w:t>8</w:t>
      </w:r>
      <w:r w:rsidR="006E5730" w:rsidRPr="009E00EE">
        <w:rPr>
          <w:rFonts w:eastAsia="Times New Roman"/>
          <w:color w:val="0E101A"/>
          <w:sz w:val="20"/>
          <w:szCs w:val="20"/>
        </w:rPr>
        <w:t>, lower than the death estimates of the MLP-lag model.</w:t>
      </w:r>
      <w:r w:rsidR="006E5730" w:rsidRPr="00B54914">
        <w:rPr>
          <w:rFonts w:eastAsiaTheme="minorEastAsia"/>
          <w:sz w:val="20"/>
          <w:szCs w:val="20"/>
        </w:rPr>
        <w:t xml:space="preserve">We also compared the RMSE achieved by our proposed CFPSD model with the MLP-lag and BATS model, shown in Fig. </w:t>
      </w:r>
      <w:r w:rsidR="006E5730">
        <w:rPr>
          <w:rFonts w:eastAsiaTheme="minorEastAsia"/>
          <w:sz w:val="20"/>
          <w:szCs w:val="20"/>
        </w:rPr>
        <w:t>9</w:t>
      </w:r>
      <w:r w:rsidR="006E5730" w:rsidRPr="00B54914">
        <w:rPr>
          <w:rFonts w:eastAsiaTheme="minorEastAsia"/>
          <w:sz w:val="20"/>
          <w:szCs w:val="20"/>
        </w:rPr>
        <w:t>.</w:t>
      </w:r>
    </w:p>
    <w:p w:rsidR="00CF35ED" w:rsidRDefault="00CF35ED" w:rsidP="00DE020A">
      <w:pPr>
        <w:ind w:firstLine="567"/>
        <w:jc w:val="both"/>
        <w:rPr>
          <w:rFonts w:eastAsiaTheme="minorEastAsia"/>
          <w:sz w:val="20"/>
          <w:szCs w:val="20"/>
        </w:rPr>
      </w:pPr>
      <w:r>
        <w:rPr>
          <w:sz w:val="20"/>
          <w:szCs w:val="20"/>
        </w:rPr>
        <w:t>A</w:t>
      </w:r>
      <w:r w:rsidRPr="00064F7F">
        <w:rPr>
          <w:sz w:val="20"/>
          <w:szCs w:val="20"/>
        </w:rPr>
        <w:t xml:space="preserve"> majority of the COVID-19 remains unrecognized and interpreted as common influenza [</w:t>
      </w:r>
      <w:r>
        <w:rPr>
          <w:sz w:val="20"/>
          <w:szCs w:val="20"/>
        </w:rPr>
        <w:t>30</w:t>
      </w:r>
      <w:r w:rsidRPr="00064F7F">
        <w:rPr>
          <w:sz w:val="20"/>
          <w:szCs w:val="20"/>
        </w:rPr>
        <w:t>]. This gross under-detection of mild cases of COVID-19 inevitably and adversely effects in estimation of actual no. of effected due to the 2019-nCoV epidemic, which may distort the correlation between infected and died</w:t>
      </w:r>
      <w:r>
        <w:rPr>
          <w:sz w:val="20"/>
          <w:szCs w:val="20"/>
        </w:rPr>
        <w:t xml:space="preserve">, </w:t>
      </w:r>
      <w:r w:rsidRPr="00064F7F">
        <w:rPr>
          <w:sz w:val="20"/>
          <w:szCs w:val="20"/>
        </w:rPr>
        <w:t xml:space="preserve">twisting an epidemiologic actuality. Therefore, determination </w:t>
      </w:r>
      <w:r>
        <w:rPr>
          <w:sz w:val="20"/>
          <w:szCs w:val="20"/>
        </w:rPr>
        <w:t xml:space="preserve">of </w:t>
      </w:r>
      <w:r w:rsidRPr="00064F7F">
        <w:rPr>
          <w:sz w:val="20"/>
          <w:szCs w:val="20"/>
        </w:rPr>
        <w:t xml:space="preserve">infection status and confirm cases through a positive </w:t>
      </w:r>
      <w:r w:rsidR="004B682B">
        <w:rPr>
          <w:rStyle w:val="e24kjd"/>
          <w:bCs/>
          <w:sz w:val="20"/>
          <w:szCs w:val="20"/>
        </w:rPr>
        <w:t>Polymerase Chain R</w:t>
      </w:r>
      <w:r w:rsidR="004B682B" w:rsidRPr="004B682B">
        <w:rPr>
          <w:rStyle w:val="e24kjd"/>
          <w:bCs/>
          <w:sz w:val="20"/>
          <w:szCs w:val="20"/>
        </w:rPr>
        <w:t>eaction</w:t>
      </w:r>
      <w:r w:rsidR="004B682B">
        <w:rPr>
          <w:sz w:val="20"/>
          <w:szCs w:val="20"/>
        </w:rPr>
        <w:t>(</w:t>
      </w:r>
      <w:r w:rsidRPr="004B682B">
        <w:rPr>
          <w:b/>
          <w:sz w:val="20"/>
          <w:szCs w:val="20"/>
        </w:rPr>
        <w:t>PCR</w:t>
      </w:r>
      <w:r w:rsidR="004B682B">
        <w:rPr>
          <w:sz w:val="20"/>
          <w:szCs w:val="20"/>
        </w:rPr>
        <w:t>)</w:t>
      </w:r>
      <w:r w:rsidRPr="00064F7F">
        <w:rPr>
          <w:sz w:val="20"/>
          <w:szCs w:val="20"/>
        </w:rPr>
        <w:t xml:space="preserve"> test [</w:t>
      </w:r>
      <w:r>
        <w:rPr>
          <w:sz w:val="20"/>
          <w:szCs w:val="20"/>
        </w:rPr>
        <w:t>31</w:t>
      </w:r>
      <w:r w:rsidRPr="00064F7F">
        <w:rPr>
          <w:sz w:val="20"/>
          <w:szCs w:val="20"/>
        </w:rPr>
        <w:t xml:space="preserve">] required in the initial phase of the epidemic. </w:t>
      </w:r>
      <w:r>
        <w:rPr>
          <w:sz w:val="20"/>
          <w:szCs w:val="20"/>
        </w:rPr>
        <w:t>However, t</w:t>
      </w:r>
      <w:r w:rsidRPr="00064F7F">
        <w:rPr>
          <w:sz w:val="20"/>
          <w:szCs w:val="20"/>
        </w:rPr>
        <w:t>he dataset of [1</w:t>
      </w:r>
      <w:r>
        <w:rPr>
          <w:sz w:val="20"/>
          <w:szCs w:val="20"/>
        </w:rPr>
        <w:t>1</w:t>
      </w:r>
      <w:r w:rsidRPr="00064F7F">
        <w:rPr>
          <w:sz w:val="20"/>
          <w:szCs w:val="20"/>
        </w:rPr>
        <w:t>] reports a day-wise summary about the no. of affected and no. of deaths</w:t>
      </w:r>
      <w:r>
        <w:rPr>
          <w:sz w:val="20"/>
          <w:szCs w:val="20"/>
        </w:rPr>
        <w:t xml:space="preserve"> only</w:t>
      </w:r>
      <w:r w:rsidRPr="00064F7F">
        <w:rPr>
          <w:sz w:val="20"/>
          <w:szCs w:val="20"/>
        </w:rPr>
        <w:t>, without incorporating the underreporting of mild cases of COVID-2019, which may render a gap between prediction and actual death trolls in China. Despite considering a minimal public dataset of [1</w:t>
      </w:r>
      <w:r>
        <w:rPr>
          <w:sz w:val="20"/>
          <w:szCs w:val="20"/>
        </w:rPr>
        <w:t>1</w:t>
      </w:r>
      <w:r w:rsidRPr="00064F7F">
        <w:rPr>
          <w:sz w:val="20"/>
          <w:szCs w:val="20"/>
        </w:rPr>
        <w:t>], we estimated 2380 no. of deaths by 29</w:t>
      </w:r>
      <w:r w:rsidRPr="00CF6CE3">
        <w:rPr>
          <w:sz w:val="20"/>
          <w:szCs w:val="20"/>
          <w:vertAlign w:val="superscript"/>
        </w:rPr>
        <w:t>th</w:t>
      </w:r>
      <w:r w:rsidRPr="00064F7F">
        <w:rPr>
          <w:sz w:val="20"/>
          <w:szCs w:val="20"/>
        </w:rPr>
        <w:t xml:space="preserve"> February 2020 in China with a reasonably small RMSE of 0.136, using the proposed CFPSD model.</w:t>
      </w:r>
    </w:p>
    <w:p w:rsidR="00045034" w:rsidRDefault="00045034" w:rsidP="00DE020A">
      <w:pPr>
        <w:ind w:firstLine="567"/>
        <w:jc w:val="both"/>
        <w:rPr>
          <w:rFonts w:eastAsiaTheme="minorEastAsia"/>
          <w:sz w:val="20"/>
          <w:szCs w:val="20"/>
        </w:rPr>
      </w:pPr>
    </w:p>
    <w:p w:rsidR="00DE020A" w:rsidRDefault="00AE4C26" w:rsidP="00255C1F">
      <w:pPr>
        <w:jc w:val="both"/>
        <w:rPr>
          <w:rFonts w:eastAsiaTheme="minorEastAsia"/>
          <w:sz w:val="20"/>
          <w:szCs w:val="20"/>
        </w:rPr>
      </w:pPr>
      <w:r>
        <w:rPr>
          <w:rFonts w:eastAsiaTheme="minorEastAsia"/>
          <w:noProof/>
          <w:sz w:val="20"/>
          <w:szCs w:val="20"/>
          <w:lang w:val="en-US" w:eastAsia="en-US"/>
        </w:rPr>
        <w:drawing>
          <wp:inline distT="0" distB="0" distL="0" distR="0">
            <wp:extent cx="3024000" cy="180000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003523565" name="BATS.jpg"/>
                    <pic:cNvPicPr/>
                  </pic:nvPicPr>
                  <pic:blipFill>
                    <a:blip r:embed="rId2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7">
                              <a14:imgEffect>
                                <a14:sharpenSoften amount="25000"/>
                              </a14:imgEffect>
                              <a14:imgEffect>
                                <a14:brightnessContrast brigh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4000" cy="1800000"/>
                    </a:xfrm>
                    <a:prstGeom prst="rect">
                      <a:avLst/>
                    </a:prstGeom>
                  </pic:spPr>
                </pic:pic>
              </a:graphicData>
            </a:graphic>
          </wp:inline>
        </w:drawing>
      </w:r>
    </w:p>
    <w:p w:rsidR="00255C1F" w:rsidRPr="00C4056E" w:rsidRDefault="00AE4C26" w:rsidP="00255C1F">
      <w:pPr>
        <w:jc w:val="both"/>
        <w:rPr>
          <w:color w:val="FF0000"/>
          <w:sz w:val="20"/>
          <w:szCs w:val="18"/>
        </w:rPr>
      </w:pPr>
      <w:r w:rsidRPr="00103CB4">
        <w:rPr>
          <w:b/>
          <w:i/>
          <w:sz w:val="20"/>
          <w:szCs w:val="18"/>
        </w:rPr>
        <w:t xml:space="preserve">Fig. </w:t>
      </w:r>
      <w:r>
        <w:rPr>
          <w:b/>
          <w:i/>
          <w:sz w:val="20"/>
          <w:szCs w:val="18"/>
        </w:rPr>
        <w:t>8</w:t>
      </w:r>
      <w:r>
        <w:rPr>
          <w:sz w:val="20"/>
          <w:szCs w:val="18"/>
        </w:rPr>
        <w:t>.</w:t>
      </w:r>
      <w:r w:rsidRPr="002660F8">
        <w:rPr>
          <w:i/>
          <w:sz w:val="20"/>
          <w:szCs w:val="18"/>
        </w:rPr>
        <w:t>BATS model</w:t>
      </w:r>
      <w:r w:rsidR="002660F8" w:rsidRPr="002660F8">
        <w:rPr>
          <w:i/>
          <w:sz w:val="20"/>
          <w:szCs w:val="18"/>
        </w:rPr>
        <w:t xml:space="preserve"> for </w:t>
      </w:r>
      <w:r w:rsidR="002660F8">
        <w:rPr>
          <w:i/>
          <w:sz w:val="20"/>
          <w:szCs w:val="18"/>
        </w:rPr>
        <w:t>death e</w:t>
      </w:r>
      <w:r w:rsidR="002660F8" w:rsidRPr="002660F8">
        <w:rPr>
          <w:i/>
          <w:sz w:val="20"/>
          <w:szCs w:val="18"/>
        </w:rPr>
        <w:t>stimation</w:t>
      </w:r>
    </w:p>
    <w:p w:rsidR="00CC715B" w:rsidRDefault="00CC715B" w:rsidP="006E5730">
      <w:pPr>
        <w:jc w:val="both"/>
        <w:rPr>
          <w:rFonts w:eastAsiaTheme="minorEastAsia"/>
          <w:sz w:val="20"/>
          <w:szCs w:val="20"/>
        </w:rPr>
      </w:pPr>
    </w:p>
    <w:p w:rsidR="00BC3660" w:rsidRDefault="007C0625" w:rsidP="00BC3660">
      <w:pPr>
        <w:jc w:val="both"/>
        <w:rPr>
          <w:rFonts w:eastAsiaTheme="minorEastAsia"/>
          <w:sz w:val="20"/>
          <w:szCs w:val="20"/>
        </w:rPr>
      </w:pPr>
      <w:r>
        <w:rPr>
          <w:rFonts w:eastAsiaTheme="minorEastAsia"/>
          <w:noProof/>
          <w:sz w:val="20"/>
          <w:szCs w:val="20"/>
          <w:lang w:val="en-US" w:eastAsia="en-US"/>
        </w:rPr>
        <w:drawing>
          <wp:inline distT="0" distB="0" distL="0" distR="0">
            <wp:extent cx="3024000" cy="1692000"/>
            <wp:effectExtent l="0" t="0" r="5080" b="381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g. 9 new.jpg"/>
                    <pic:cNvPicPr/>
                  </pic:nvPicPr>
                  <pic:blipFill>
                    <a:blip r:embed="rId2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sharpenSoften amount="25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4000" cy="1692000"/>
                    </a:xfrm>
                    <a:prstGeom prst="rect">
                      <a:avLst/>
                    </a:prstGeom>
                  </pic:spPr>
                </pic:pic>
              </a:graphicData>
            </a:graphic>
          </wp:inline>
        </w:drawing>
      </w:r>
    </w:p>
    <w:p w:rsidR="008F067A" w:rsidRPr="00DA04F5" w:rsidRDefault="00AE4C26" w:rsidP="00DA04F5">
      <w:pPr>
        <w:jc w:val="both"/>
        <w:rPr>
          <w:color w:val="FF0000"/>
          <w:sz w:val="20"/>
          <w:szCs w:val="18"/>
        </w:rPr>
      </w:pPr>
      <w:r w:rsidRPr="00103CB4">
        <w:rPr>
          <w:b/>
          <w:i/>
          <w:sz w:val="20"/>
          <w:szCs w:val="18"/>
        </w:rPr>
        <w:t>Fig.</w:t>
      </w:r>
      <w:r>
        <w:rPr>
          <w:b/>
          <w:i/>
          <w:sz w:val="20"/>
          <w:szCs w:val="18"/>
        </w:rPr>
        <w:t xml:space="preserve"> 9</w:t>
      </w:r>
      <w:r>
        <w:rPr>
          <w:sz w:val="20"/>
          <w:szCs w:val="18"/>
        </w:rPr>
        <w:t>.</w:t>
      </w:r>
      <w:r w:rsidRPr="00B91A65">
        <w:rPr>
          <w:i/>
          <w:sz w:val="20"/>
          <w:szCs w:val="18"/>
        </w:rPr>
        <w:t>RMSE of CFPSD, MLP-lag, and BATS model</w:t>
      </w:r>
    </w:p>
    <w:p w:rsidR="00F37699" w:rsidRDefault="00AE4C26" w:rsidP="00CC19B8">
      <w:pPr>
        <w:ind w:firstLine="567"/>
        <w:jc w:val="both"/>
        <w:rPr>
          <w:sz w:val="20"/>
          <w:szCs w:val="20"/>
        </w:rPr>
      </w:pPr>
      <w:r w:rsidRPr="00B51F74">
        <w:rPr>
          <w:sz w:val="20"/>
          <w:szCs w:val="20"/>
        </w:rPr>
        <w:t>Recently, S.J. Fong et al. [</w:t>
      </w:r>
      <w:r w:rsidR="00E265DF" w:rsidRPr="00E265DF">
        <w:rPr>
          <w:sz w:val="20"/>
          <w:szCs w:val="20"/>
        </w:rPr>
        <w:t>32</w:t>
      </w:r>
      <w:r w:rsidRPr="00B51F74">
        <w:rPr>
          <w:sz w:val="20"/>
          <w:szCs w:val="20"/>
        </w:rPr>
        <w:t>] developed an early forecasting model using a small experimental dataset of the 2019-nCoV epidemic collected from the archive of Chinese health authorities between 21st Jan – 3rd Feb 2020, i.e., a total 14 no. of observations. The proposed model, named Group of Optimized and Multi-source Selection (</w:t>
      </w:r>
      <w:r w:rsidRPr="008F736D">
        <w:rPr>
          <w:b/>
          <w:sz w:val="20"/>
          <w:szCs w:val="20"/>
        </w:rPr>
        <w:t>GROOMS</w:t>
      </w:r>
      <w:r w:rsidRPr="00B51F74">
        <w:rPr>
          <w:sz w:val="20"/>
          <w:szCs w:val="20"/>
        </w:rPr>
        <w:t xml:space="preserve">) consisting of ARIMA, </w:t>
      </w:r>
      <w:r w:rsidRPr="003C7F4D">
        <w:rPr>
          <w:sz w:val="20"/>
          <w:szCs w:val="20"/>
        </w:rPr>
        <w:t>Exponential, Holt-Winters Addictive</w:t>
      </w:r>
      <w:r w:rsidRPr="00B51F74">
        <w:rPr>
          <w:sz w:val="20"/>
          <w:szCs w:val="20"/>
        </w:rPr>
        <w:t xml:space="preserve"> and, </w:t>
      </w:r>
      <w:r w:rsidRPr="003C7F4D">
        <w:rPr>
          <w:sz w:val="20"/>
          <w:szCs w:val="20"/>
        </w:rPr>
        <w:t>Holt-Winters Multiplicative</w:t>
      </w:r>
      <w:r w:rsidRPr="00B51F74">
        <w:rPr>
          <w:sz w:val="20"/>
          <w:szCs w:val="20"/>
        </w:rPr>
        <w:t xml:space="preserve"> methods for conventional prediction, Linear regression, </w:t>
      </w:r>
      <w:r>
        <w:rPr>
          <w:sz w:val="20"/>
          <w:szCs w:val="20"/>
        </w:rPr>
        <w:t>Support Vector Machine with Regression (</w:t>
      </w:r>
      <w:r w:rsidRPr="005E68CB">
        <w:rPr>
          <w:b/>
          <w:sz w:val="20"/>
          <w:szCs w:val="20"/>
        </w:rPr>
        <w:t>SVR</w:t>
      </w:r>
      <w:r>
        <w:rPr>
          <w:sz w:val="20"/>
          <w:szCs w:val="20"/>
        </w:rPr>
        <w:t>)</w:t>
      </w:r>
      <w:r w:rsidRPr="00B51F74">
        <w:rPr>
          <w:sz w:val="20"/>
          <w:szCs w:val="20"/>
        </w:rPr>
        <w:t xml:space="preserve"> for regression-based estimates, Fast decision tree learner, MP5 decision tree leaner methods for ML predictions, and Polynomial Neural Network (</w:t>
      </w:r>
      <w:r w:rsidRPr="003C7F4D">
        <w:rPr>
          <w:b/>
          <w:sz w:val="20"/>
          <w:szCs w:val="20"/>
        </w:rPr>
        <w:t>PNN</w:t>
      </w:r>
      <w:r w:rsidRPr="00B51F74">
        <w:rPr>
          <w:sz w:val="20"/>
          <w:szCs w:val="20"/>
        </w:rPr>
        <w:t>), Polynomial Neural Network with correction (</w:t>
      </w:r>
      <w:r w:rsidRPr="008F736D">
        <w:rPr>
          <w:b/>
          <w:sz w:val="20"/>
          <w:szCs w:val="20"/>
        </w:rPr>
        <w:t>PNN+cf</w:t>
      </w:r>
      <w:r w:rsidRPr="00B51F74">
        <w:rPr>
          <w:sz w:val="20"/>
          <w:szCs w:val="20"/>
        </w:rPr>
        <w:t xml:space="preserve">) for PNN-forecasting. </w:t>
      </w:r>
      <w:r w:rsidR="00237519">
        <w:rPr>
          <w:sz w:val="20"/>
          <w:szCs w:val="20"/>
        </w:rPr>
        <w:t>The</w:t>
      </w:r>
      <w:r w:rsidRPr="00B51F74">
        <w:rPr>
          <w:sz w:val="20"/>
          <w:szCs w:val="20"/>
        </w:rPr>
        <w:t>GROOMS is designed to converge a collection of optimized forecasting models. In GROOMS, [</w:t>
      </w:r>
      <w:r w:rsidR="00E265DF">
        <w:rPr>
          <w:sz w:val="20"/>
          <w:szCs w:val="20"/>
        </w:rPr>
        <w:t>32</w:t>
      </w:r>
      <w:r w:rsidRPr="00B51F74">
        <w:rPr>
          <w:sz w:val="20"/>
          <w:szCs w:val="20"/>
        </w:rPr>
        <w:t xml:space="preserve">] augmented an existing small dataset to a relatively large set for 6 days advance forecast. This </w:t>
      </w:r>
      <w:r>
        <w:rPr>
          <w:sz w:val="20"/>
          <w:szCs w:val="20"/>
        </w:rPr>
        <w:t>extended</w:t>
      </w:r>
      <w:r w:rsidRPr="00B51F74">
        <w:rPr>
          <w:sz w:val="20"/>
          <w:szCs w:val="20"/>
        </w:rPr>
        <w:t xml:space="preserve"> dataset </w:t>
      </w:r>
      <w:r>
        <w:rPr>
          <w:sz w:val="20"/>
          <w:szCs w:val="20"/>
        </w:rPr>
        <w:t xml:space="preserve">was </w:t>
      </w:r>
      <w:r w:rsidRPr="00B51F74">
        <w:rPr>
          <w:sz w:val="20"/>
          <w:szCs w:val="20"/>
        </w:rPr>
        <w:t>then applied to the panel selection mechanism for determining the best-fit forecast candidate among several models that participated in GROOMS. There is a total of five no. of groups of data analytics in GROOMS used to develop the proposed forecasting model. Authors of [</w:t>
      </w:r>
      <w:r w:rsidR="00E265DF">
        <w:rPr>
          <w:sz w:val="20"/>
          <w:szCs w:val="20"/>
        </w:rPr>
        <w:t>32</w:t>
      </w:r>
      <w:r w:rsidRPr="00B51F74">
        <w:rPr>
          <w:sz w:val="20"/>
          <w:szCs w:val="20"/>
        </w:rPr>
        <w:t xml:space="preserve">] observed that the </w:t>
      </w:r>
      <w:r w:rsidRPr="003C7F4D">
        <w:rPr>
          <w:i/>
          <w:sz w:val="20"/>
          <w:szCs w:val="20"/>
        </w:rPr>
        <w:t>PNN+cf</w:t>
      </w:r>
      <w:r w:rsidRPr="00B51F74">
        <w:rPr>
          <w:sz w:val="20"/>
          <w:szCs w:val="20"/>
        </w:rPr>
        <w:t xml:space="preserve"> methods offer</w:t>
      </w:r>
      <w:r>
        <w:rPr>
          <w:sz w:val="20"/>
          <w:szCs w:val="20"/>
        </w:rPr>
        <w:t xml:space="preserve"> minimal error, i.e.,</w:t>
      </w:r>
      <w:r w:rsidRPr="00B51F74">
        <w:rPr>
          <w:sz w:val="20"/>
          <w:szCs w:val="20"/>
        </w:rPr>
        <w:t xml:space="preserve"> a relatively low RMSE, and become the best-fit ca</w:t>
      </w:r>
      <w:r>
        <w:rPr>
          <w:sz w:val="20"/>
          <w:szCs w:val="20"/>
        </w:rPr>
        <w:t>ndidate to forecast the 2019-nCoV outbreak in China.</w:t>
      </w:r>
      <w:r w:rsidR="00442779" w:rsidRPr="002C01BC">
        <w:rPr>
          <w:sz w:val="20"/>
          <w:szCs w:val="20"/>
        </w:rPr>
        <w:t>In conventional forecasting, [</w:t>
      </w:r>
      <w:r w:rsidR="00E265DF">
        <w:rPr>
          <w:sz w:val="20"/>
          <w:szCs w:val="20"/>
        </w:rPr>
        <w:t>32</w:t>
      </w:r>
      <w:r w:rsidR="00442779" w:rsidRPr="002C01BC">
        <w:rPr>
          <w:sz w:val="20"/>
          <w:szCs w:val="20"/>
        </w:rPr>
        <w:t>] achieved the lowest RMSE of 695.98 for the Holt-Winters Addictive model. However, for the ML-based forecasting, such as the SVR method, a minimum RMSE of 228.39 achieved, and lastly, for in the PNN+cf model produced a comparatively smaller RMSE of 136.55. Therefore, the PNN+cf produced the lowest RMSE of all methods, i.e., min. {695.98, 228.39, 136.55} = 136.55 and becomes the best-fit forecasting candidate.</w:t>
      </w:r>
    </w:p>
    <w:p w:rsidR="00E26EB8" w:rsidRDefault="00AE4C26" w:rsidP="00CC19B8">
      <w:pPr>
        <w:ind w:firstLine="567"/>
        <w:jc w:val="both"/>
        <w:rPr>
          <w:sz w:val="20"/>
          <w:szCs w:val="20"/>
        </w:rPr>
      </w:pPr>
      <w:r w:rsidRPr="0072205F">
        <w:rPr>
          <w:sz w:val="20"/>
          <w:szCs w:val="20"/>
        </w:rPr>
        <w:t>The group collaboration approach of estimation has varied applications and not limited in predicting epidemics only. In this context, S. Janani et al. [</w:t>
      </w:r>
      <w:r w:rsidR="00D5230F">
        <w:rPr>
          <w:sz w:val="20"/>
          <w:szCs w:val="20"/>
        </w:rPr>
        <w:t>33</w:t>
      </w:r>
      <w:r w:rsidRPr="0072205F">
        <w:rPr>
          <w:sz w:val="20"/>
          <w:szCs w:val="20"/>
        </w:rPr>
        <w:t>] predicted heart disease by using the Highly Co-Related Practical Swarm Optimization (HCR-PSO) feature. A total of 583</w:t>
      </w:r>
      <w:r>
        <w:rPr>
          <w:sz w:val="20"/>
          <w:szCs w:val="20"/>
        </w:rPr>
        <w:t xml:space="preserve"> no. of </w:t>
      </w:r>
      <w:r w:rsidRPr="0072205F">
        <w:rPr>
          <w:sz w:val="20"/>
          <w:szCs w:val="20"/>
        </w:rPr>
        <w:t xml:space="preserve">heart patient data samples consisting of 10 </w:t>
      </w:r>
      <w:r w:rsidR="00427832">
        <w:rPr>
          <w:sz w:val="20"/>
          <w:szCs w:val="20"/>
        </w:rPr>
        <w:t>no. of independent and one</w:t>
      </w:r>
      <w:r w:rsidRPr="0072205F">
        <w:rPr>
          <w:sz w:val="20"/>
          <w:szCs w:val="20"/>
        </w:rPr>
        <w:t xml:space="preserve"> dependent variable collected from the UCI repository, to analyze and determine an active heart disease prediction method using an array of ML algorithms, namely KNN (K-Nearest Neighbor), RFM, Support Vector Machine (SVM), Bayesian network and </w:t>
      </w:r>
      <w:r>
        <w:rPr>
          <w:sz w:val="20"/>
          <w:szCs w:val="20"/>
        </w:rPr>
        <w:t>MLP. Authors of [</w:t>
      </w:r>
      <w:r w:rsidR="00D5230F">
        <w:rPr>
          <w:sz w:val="20"/>
          <w:szCs w:val="20"/>
        </w:rPr>
        <w:t>33</w:t>
      </w:r>
      <w:r>
        <w:rPr>
          <w:sz w:val="20"/>
          <w:szCs w:val="20"/>
        </w:rPr>
        <w:t>] predicted</w:t>
      </w:r>
      <w:r w:rsidRPr="0072205F">
        <w:rPr>
          <w:sz w:val="20"/>
          <w:szCs w:val="20"/>
        </w:rPr>
        <w:t xml:space="preserve"> heart disease at an early stage with a satisfactory outcome in terms of classification RMSE and accuracy. In [</w:t>
      </w:r>
      <w:r w:rsidR="00D5230F">
        <w:rPr>
          <w:sz w:val="20"/>
          <w:szCs w:val="20"/>
        </w:rPr>
        <w:t>33</w:t>
      </w:r>
      <w:r w:rsidRPr="0072205F">
        <w:rPr>
          <w:sz w:val="20"/>
          <w:szCs w:val="20"/>
        </w:rPr>
        <w:t>], the Bayesian network found to produce the lowest RSME of 0.40 and reasonably high accuracy of 90.33. Therefore, the Bayesian network outperformed the other classification algorithms i</w:t>
      </w:r>
      <w:r w:rsidR="009F29BD">
        <w:rPr>
          <w:sz w:val="20"/>
          <w:szCs w:val="20"/>
        </w:rPr>
        <w:t xml:space="preserve">n the proposed prediction model. </w:t>
      </w:r>
      <w:r w:rsidR="009F29BD" w:rsidRPr="00D15CB8">
        <w:rPr>
          <w:sz w:val="20"/>
          <w:szCs w:val="20"/>
        </w:rPr>
        <w:t>To evaluate the performance of our CFPSD model, we compared the RMSE achieved by us with [</w:t>
      </w:r>
      <w:r w:rsidR="00CC5E23">
        <w:rPr>
          <w:sz w:val="20"/>
          <w:szCs w:val="20"/>
        </w:rPr>
        <w:t>32-33</w:t>
      </w:r>
      <w:r w:rsidR="005B0E79">
        <w:rPr>
          <w:sz w:val="20"/>
          <w:szCs w:val="20"/>
        </w:rPr>
        <w:t>] and observed that our CFPSD model performed satisfactorily in terms of RMSE,</w:t>
      </w:r>
      <w:r w:rsidR="009F29BD" w:rsidRPr="00D15CB8">
        <w:rPr>
          <w:sz w:val="20"/>
          <w:szCs w:val="20"/>
        </w:rPr>
        <w:t xml:space="preserve"> listed in Table 6.</w:t>
      </w:r>
    </w:p>
    <w:p w:rsidR="00573181" w:rsidRDefault="00573181" w:rsidP="00D74BAE">
      <w:pPr>
        <w:jc w:val="both"/>
        <w:rPr>
          <w:sz w:val="20"/>
          <w:szCs w:val="20"/>
        </w:rPr>
        <w:sectPr w:rsidR="00573181" w:rsidSect="000F534A">
          <w:type w:val="continuous"/>
          <w:pgSz w:w="11906" w:h="16838"/>
          <w:pgMar w:top="1134" w:right="851" w:bottom="1134" w:left="851" w:header="709" w:footer="709" w:gutter="0"/>
          <w:cols w:num="2" w:space="454"/>
          <w:docGrid w:linePitch="360"/>
        </w:sectPr>
      </w:pPr>
    </w:p>
    <w:p w:rsidR="00AC50E0" w:rsidRDefault="00AE4C26" w:rsidP="00C043DD">
      <w:pPr>
        <w:tabs>
          <w:tab w:val="left" w:pos="2268"/>
        </w:tabs>
        <w:jc w:val="both"/>
        <w:rPr>
          <w:color w:val="000000" w:themeColor="text1"/>
          <w:sz w:val="20"/>
          <w:szCs w:val="18"/>
        </w:rPr>
      </w:pPr>
      <w:r w:rsidRPr="000911C3">
        <w:rPr>
          <w:b/>
          <w:sz w:val="20"/>
          <w:szCs w:val="18"/>
        </w:rPr>
        <w:t xml:space="preserve">Table </w:t>
      </w:r>
      <w:r>
        <w:rPr>
          <w:b/>
          <w:sz w:val="20"/>
          <w:szCs w:val="18"/>
        </w:rPr>
        <w:t>6</w:t>
      </w:r>
      <w:r w:rsidR="007F0DA2" w:rsidRPr="00CA7BE1">
        <w:rPr>
          <w:color w:val="000000" w:themeColor="text1"/>
          <w:sz w:val="20"/>
          <w:szCs w:val="18"/>
        </w:rPr>
        <w:t xml:space="preserve">Comparison of </w:t>
      </w:r>
      <w:r w:rsidRPr="00CA7BE1">
        <w:rPr>
          <w:color w:val="000000" w:themeColor="text1"/>
          <w:sz w:val="20"/>
          <w:szCs w:val="18"/>
        </w:rPr>
        <w:t xml:space="preserve">RMSE </w:t>
      </w:r>
      <w:r w:rsidR="007F0DA2" w:rsidRPr="00CA7BE1">
        <w:rPr>
          <w:color w:val="000000" w:themeColor="text1"/>
          <w:sz w:val="20"/>
          <w:szCs w:val="18"/>
        </w:rPr>
        <w:t xml:space="preserve">with </w:t>
      </w:r>
      <w:r w:rsidR="009F29BD" w:rsidRPr="00CA7BE1">
        <w:rPr>
          <w:color w:val="000000" w:themeColor="text1"/>
          <w:sz w:val="20"/>
          <w:szCs w:val="18"/>
        </w:rPr>
        <w:t>[</w:t>
      </w:r>
      <w:r w:rsidR="0006663F">
        <w:rPr>
          <w:color w:val="000000" w:themeColor="text1"/>
          <w:sz w:val="20"/>
          <w:szCs w:val="18"/>
        </w:rPr>
        <w:t>32-33</w:t>
      </w:r>
      <w:r w:rsidR="009F29BD" w:rsidRPr="00CA7BE1">
        <w:rPr>
          <w:color w:val="000000" w:themeColor="text1"/>
          <w:sz w:val="20"/>
          <w:szCs w:val="18"/>
        </w:rPr>
        <w:t>]</w:t>
      </w:r>
    </w:p>
    <w:tbl>
      <w:tblPr>
        <w:tblStyle w:val="TableGrid"/>
        <w:tblW w:w="1001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98"/>
        <w:gridCol w:w="1275"/>
        <w:gridCol w:w="1954"/>
        <w:gridCol w:w="1654"/>
        <w:gridCol w:w="2796"/>
        <w:gridCol w:w="835"/>
      </w:tblGrid>
      <w:tr w:rsidR="00053D0D" w:rsidTr="0010430B">
        <w:trPr>
          <w:trHeight w:val="350"/>
        </w:trPr>
        <w:tc>
          <w:tcPr>
            <w:tcW w:w="1498" w:type="dxa"/>
            <w:tcBorders>
              <w:top w:val="single" w:sz="4" w:space="0" w:color="auto"/>
              <w:bottom w:val="single" w:sz="4" w:space="0" w:color="auto"/>
            </w:tcBorders>
            <w:vAlign w:val="center"/>
            <w:hideMark/>
          </w:tcPr>
          <w:p w:rsidR="00053D0D" w:rsidRPr="00573181" w:rsidRDefault="00053D0D" w:rsidP="00C043DD">
            <w:pPr>
              <w:tabs>
                <w:tab w:val="left" w:pos="2268"/>
              </w:tabs>
              <w:jc w:val="center"/>
              <w:rPr>
                <w:rFonts w:eastAsia="Times New Roman"/>
                <w:bCs/>
                <w:color w:val="000000"/>
                <w:sz w:val="20"/>
                <w:szCs w:val="20"/>
              </w:rPr>
            </w:pPr>
            <w:r w:rsidRPr="00573181">
              <w:rPr>
                <w:rFonts w:eastAsia="Times New Roman"/>
                <w:bCs/>
                <w:color w:val="000000"/>
                <w:sz w:val="20"/>
                <w:szCs w:val="20"/>
              </w:rPr>
              <w:t>Authors</w:t>
            </w:r>
          </w:p>
        </w:tc>
        <w:tc>
          <w:tcPr>
            <w:tcW w:w="1275" w:type="dxa"/>
            <w:tcBorders>
              <w:top w:val="single" w:sz="4" w:space="0" w:color="auto"/>
              <w:bottom w:val="single" w:sz="4" w:space="0" w:color="auto"/>
            </w:tcBorders>
            <w:vAlign w:val="center"/>
          </w:tcPr>
          <w:p w:rsidR="00053D0D" w:rsidRDefault="00053D0D" w:rsidP="00C043DD">
            <w:pPr>
              <w:tabs>
                <w:tab w:val="left" w:pos="2268"/>
              </w:tabs>
              <w:jc w:val="center"/>
              <w:rPr>
                <w:rFonts w:eastAsia="Times New Roman"/>
                <w:bCs/>
                <w:color w:val="000000"/>
                <w:sz w:val="20"/>
                <w:szCs w:val="20"/>
              </w:rPr>
            </w:pPr>
            <w:r>
              <w:rPr>
                <w:rFonts w:eastAsia="Times New Roman"/>
                <w:bCs/>
                <w:color w:val="000000"/>
                <w:sz w:val="20"/>
                <w:szCs w:val="20"/>
              </w:rPr>
              <w:t>Model used</w:t>
            </w:r>
          </w:p>
        </w:tc>
        <w:tc>
          <w:tcPr>
            <w:tcW w:w="1954" w:type="dxa"/>
            <w:tcBorders>
              <w:top w:val="single" w:sz="4" w:space="0" w:color="auto"/>
              <w:bottom w:val="single" w:sz="4" w:space="0" w:color="auto"/>
            </w:tcBorders>
            <w:vAlign w:val="center"/>
          </w:tcPr>
          <w:p w:rsidR="00053D0D" w:rsidRPr="00573181" w:rsidRDefault="00053D0D" w:rsidP="00C043DD">
            <w:pPr>
              <w:tabs>
                <w:tab w:val="left" w:pos="2268"/>
              </w:tabs>
              <w:jc w:val="center"/>
              <w:rPr>
                <w:rFonts w:eastAsia="Times New Roman"/>
                <w:bCs/>
                <w:color w:val="000000"/>
                <w:sz w:val="20"/>
                <w:szCs w:val="20"/>
              </w:rPr>
            </w:pPr>
            <w:r>
              <w:rPr>
                <w:rFonts w:eastAsia="Times New Roman"/>
                <w:bCs/>
                <w:color w:val="000000"/>
                <w:sz w:val="20"/>
                <w:szCs w:val="20"/>
              </w:rPr>
              <w:t>Best-Fit C</w:t>
            </w:r>
            <w:r w:rsidRPr="00573181">
              <w:rPr>
                <w:rFonts w:eastAsia="Times New Roman"/>
                <w:bCs/>
                <w:color w:val="000000"/>
                <w:sz w:val="20"/>
                <w:szCs w:val="20"/>
              </w:rPr>
              <w:t>andidate</w:t>
            </w:r>
          </w:p>
        </w:tc>
        <w:tc>
          <w:tcPr>
            <w:tcW w:w="1654" w:type="dxa"/>
            <w:tcBorders>
              <w:top w:val="single" w:sz="4" w:space="0" w:color="auto"/>
              <w:bottom w:val="single" w:sz="4" w:space="0" w:color="auto"/>
            </w:tcBorders>
            <w:vAlign w:val="center"/>
          </w:tcPr>
          <w:p w:rsidR="00053D0D" w:rsidRPr="00573181" w:rsidRDefault="00053D0D" w:rsidP="00C043DD">
            <w:pPr>
              <w:tabs>
                <w:tab w:val="left" w:pos="2268"/>
              </w:tabs>
              <w:jc w:val="center"/>
              <w:rPr>
                <w:rFonts w:eastAsia="Times New Roman"/>
                <w:bCs/>
                <w:color w:val="000000"/>
                <w:sz w:val="20"/>
                <w:szCs w:val="20"/>
              </w:rPr>
            </w:pPr>
            <w:r w:rsidRPr="00573181">
              <w:rPr>
                <w:rFonts w:eastAsia="Times New Roman"/>
                <w:bCs/>
                <w:color w:val="000000"/>
                <w:sz w:val="20"/>
                <w:szCs w:val="20"/>
              </w:rPr>
              <w:t>Dataset size</w:t>
            </w:r>
          </w:p>
        </w:tc>
        <w:tc>
          <w:tcPr>
            <w:tcW w:w="2796" w:type="dxa"/>
            <w:tcBorders>
              <w:top w:val="single" w:sz="4" w:space="0" w:color="auto"/>
              <w:bottom w:val="single" w:sz="4" w:space="0" w:color="auto"/>
            </w:tcBorders>
            <w:vAlign w:val="center"/>
          </w:tcPr>
          <w:p w:rsidR="00053D0D" w:rsidRPr="00573181" w:rsidRDefault="00053D0D" w:rsidP="00C043DD">
            <w:pPr>
              <w:tabs>
                <w:tab w:val="left" w:pos="2268"/>
              </w:tabs>
              <w:jc w:val="center"/>
              <w:rPr>
                <w:rFonts w:eastAsia="Times New Roman"/>
                <w:bCs/>
                <w:color w:val="000000"/>
                <w:sz w:val="20"/>
                <w:szCs w:val="20"/>
              </w:rPr>
            </w:pPr>
            <w:r w:rsidRPr="00573181">
              <w:rPr>
                <w:rFonts w:eastAsiaTheme="minorHAnsi"/>
                <w:sz w:val="20"/>
                <w:szCs w:val="20"/>
                <w:lang w:val="en-US" w:eastAsia="en-US"/>
              </w:rPr>
              <w:t>F</w:t>
            </w:r>
            <w:r w:rsidRPr="00573181">
              <w:rPr>
                <w:rFonts w:eastAsiaTheme="minorHAnsi"/>
                <w:color w:val="000000"/>
                <w:sz w:val="20"/>
                <w:szCs w:val="20"/>
                <w:lang w:val="en-US" w:eastAsia="en-US"/>
              </w:rPr>
              <w:t>orecast</w:t>
            </w:r>
          </w:p>
        </w:tc>
        <w:tc>
          <w:tcPr>
            <w:tcW w:w="835" w:type="dxa"/>
            <w:tcBorders>
              <w:top w:val="single" w:sz="4" w:space="0" w:color="auto"/>
              <w:bottom w:val="single" w:sz="4" w:space="0" w:color="auto"/>
            </w:tcBorders>
            <w:vAlign w:val="center"/>
          </w:tcPr>
          <w:p w:rsidR="00053D0D" w:rsidRPr="00573181" w:rsidRDefault="00053D0D" w:rsidP="00C043DD">
            <w:pPr>
              <w:tabs>
                <w:tab w:val="left" w:pos="2268"/>
              </w:tabs>
              <w:jc w:val="center"/>
              <w:rPr>
                <w:rFonts w:eastAsia="Times New Roman"/>
                <w:bCs/>
                <w:color w:val="000000"/>
                <w:sz w:val="20"/>
                <w:szCs w:val="20"/>
              </w:rPr>
            </w:pPr>
            <w:r w:rsidRPr="00573181">
              <w:rPr>
                <w:rFonts w:eastAsia="Times New Roman"/>
                <w:bCs/>
                <w:color w:val="000000"/>
                <w:sz w:val="20"/>
                <w:szCs w:val="20"/>
              </w:rPr>
              <w:t>RMSE</w:t>
            </w:r>
          </w:p>
        </w:tc>
      </w:tr>
      <w:tr w:rsidR="00053D0D" w:rsidTr="0010430B">
        <w:trPr>
          <w:trHeight w:val="61"/>
        </w:trPr>
        <w:tc>
          <w:tcPr>
            <w:tcW w:w="1498" w:type="dxa"/>
            <w:tcBorders>
              <w:top w:val="single" w:sz="4" w:space="0" w:color="auto"/>
            </w:tcBorders>
            <w:vAlign w:val="center"/>
          </w:tcPr>
          <w:p w:rsidR="00053D0D" w:rsidRPr="00573181" w:rsidRDefault="00053D0D" w:rsidP="00C043DD">
            <w:pPr>
              <w:tabs>
                <w:tab w:val="left" w:pos="2268"/>
              </w:tabs>
              <w:contextualSpacing/>
              <w:jc w:val="center"/>
              <w:rPr>
                <w:rFonts w:eastAsia="Times New Roman"/>
                <w:color w:val="000000"/>
                <w:sz w:val="20"/>
                <w:szCs w:val="20"/>
              </w:rPr>
            </w:pPr>
          </w:p>
        </w:tc>
        <w:tc>
          <w:tcPr>
            <w:tcW w:w="1275" w:type="dxa"/>
            <w:tcBorders>
              <w:top w:val="single" w:sz="4" w:space="0" w:color="auto"/>
            </w:tcBorders>
            <w:vAlign w:val="center"/>
          </w:tcPr>
          <w:p w:rsidR="00053D0D" w:rsidRPr="00573181" w:rsidRDefault="00053D0D" w:rsidP="00C043DD">
            <w:pPr>
              <w:tabs>
                <w:tab w:val="left" w:pos="2268"/>
              </w:tabs>
              <w:contextualSpacing/>
              <w:jc w:val="center"/>
              <w:rPr>
                <w:sz w:val="20"/>
                <w:szCs w:val="20"/>
              </w:rPr>
            </w:pPr>
          </w:p>
        </w:tc>
        <w:tc>
          <w:tcPr>
            <w:tcW w:w="1954" w:type="dxa"/>
            <w:tcBorders>
              <w:top w:val="single" w:sz="4" w:space="0" w:color="auto"/>
            </w:tcBorders>
            <w:vAlign w:val="center"/>
          </w:tcPr>
          <w:p w:rsidR="00053D0D" w:rsidRPr="00573181" w:rsidRDefault="00053D0D" w:rsidP="00C043DD">
            <w:pPr>
              <w:tabs>
                <w:tab w:val="left" w:pos="2268"/>
              </w:tabs>
              <w:contextualSpacing/>
              <w:jc w:val="center"/>
              <w:rPr>
                <w:sz w:val="20"/>
                <w:szCs w:val="20"/>
              </w:rPr>
            </w:pPr>
          </w:p>
        </w:tc>
        <w:tc>
          <w:tcPr>
            <w:tcW w:w="1654" w:type="dxa"/>
            <w:tcBorders>
              <w:top w:val="single" w:sz="4" w:space="0" w:color="auto"/>
            </w:tcBorders>
          </w:tcPr>
          <w:p w:rsidR="00053D0D" w:rsidRPr="00573181" w:rsidRDefault="00053D0D" w:rsidP="00C043DD">
            <w:pPr>
              <w:tabs>
                <w:tab w:val="left" w:pos="2268"/>
              </w:tabs>
              <w:contextualSpacing/>
              <w:jc w:val="center"/>
              <w:rPr>
                <w:sz w:val="20"/>
                <w:szCs w:val="20"/>
              </w:rPr>
            </w:pPr>
          </w:p>
        </w:tc>
        <w:tc>
          <w:tcPr>
            <w:tcW w:w="2796" w:type="dxa"/>
            <w:tcBorders>
              <w:top w:val="single" w:sz="4" w:space="0" w:color="auto"/>
            </w:tcBorders>
          </w:tcPr>
          <w:p w:rsidR="00053D0D" w:rsidRPr="00573181" w:rsidRDefault="00053D0D" w:rsidP="00C043DD">
            <w:pPr>
              <w:tabs>
                <w:tab w:val="left" w:pos="2268"/>
              </w:tabs>
              <w:contextualSpacing/>
              <w:jc w:val="center"/>
              <w:rPr>
                <w:sz w:val="20"/>
                <w:szCs w:val="20"/>
              </w:rPr>
            </w:pPr>
          </w:p>
        </w:tc>
        <w:tc>
          <w:tcPr>
            <w:tcW w:w="835" w:type="dxa"/>
            <w:tcBorders>
              <w:top w:val="single" w:sz="4" w:space="0" w:color="auto"/>
            </w:tcBorders>
            <w:vAlign w:val="center"/>
          </w:tcPr>
          <w:p w:rsidR="00053D0D" w:rsidRPr="00573181" w:rsidRDefault="00053D0D" w:rsidP="00C043DD">
            <w:pPr>
              <w:tabs>
                <w:tab w:val="left" w:pos="2268"/>
              </w:tabs>
              <w:jc w:val="center"/>
              <w:rPr>
                <w:sz w:val="20"/>
                <w:szCs w:val="20"/>
              </w:rPr>
            </w:pPr>
          </w:p>
        </w:tc>
      </w:tr>
      <w:tr w:rsidR="00053D0D" w:rsidTr="0010430B">
        <w:trPr>
          <w:trHeight w:val="21"/>
        </w:trPr>
        <w:tc>
          <w:tcPr>
            <w:tcW w:w="1498" w:type="dxa"/>
            <w:vAlign w:val="center"/>
          </w:tcPr>
          <w:p w:rsidR="00053D0D" w:rsidRPr="00573181" w:rsidRDefault="00053D0D" w:rsidP="00C043DD">
            <w:pPr>
              <w:tabs>
                <w:tab w:val="left" w:pos="2268"/>
              </w:tabs>
              <w:contextualSpacing/>
              <w:jc w:val="center"/>
              <w:rPr>
                <w:rFonts w:eastAsia="Times New Roman"/>
                <w:color w:val="000000"/>
                <w:sz w:val="20"/>
                <w:szCs w:val="20"/>
              </w:rPr>
            </w:pPr>
            <w:r w:rsidRPr="00573181">
              <w:rPr>
                <w:rFonts w:eastAsia="Times New Roman"/>
                <w:color w:val="0E101A"/>
                <w:sz w:val="20"/>
                <w:szCs w:val="20"/>
              </w:rPr>
              <w:t>S.J. Fong et al.</w:t>
            </w:r>
          </w:p>
        </w:tc>
        <w:tc>
          <w:tcPr>
            <w:tcW w:w="1275" w:type="dxa"/>
            <w:vAlign w:val="center"/>
          </w:tcPr>
          <w:p w:rsidR="00053D0D" w:rsidRPr="00053D0D" w:rsidRDefault="00053D0D" w:rsidP="00C043DD">
            <w:pPr>
              <w:tabs>
                <w:tab w:val="left" w:pos="2268"/>
              </w:tabs>
              <w:contextualSpacing/>
              <w:jc w:val="center"/>
              <w:rPr>
                <w:sz w:val="20"/>
                <w:szCs w:val="20"/>
              </w:rPr>
            </w:pPr>
            <w:r w:rsidRPr="00053D0D">
              <w:rPr>
                <w:color w:val="000000"/>
                <w:sz w:val="20"/>
                <w:szCs w:val="20"/>
              </w:rPr>
              <w:t>GROOMS</w:t>
            </w:r>
          </w:p>
        </w:tc>
        <w:tc>
          <w:tcPr>
            <w:tcW w:w="1954" w:type="dxa"/>
            <w:vAlign w:val="center"/>
          </w:tcPr>
          <w:p w:rsidR="00053D0D" w:rsidRPr="00573181" w:rsidRDefault="00053D0D" w:rsidP="00C043DD">
            <w:pPr>
              <w:tabs>
                <w:tab w:val="left" w:pos="2268"/>
              </w:tabs>
              <w:contextualSpacing/>
              <w:jc w:val="center"/>
              <w:rPr>
                <w:sz w:val="20"/>
                <w:szCs w:val="20"/>
              </w:rPr>
            </w:pPr>
            <w:r w:rsidRPr="00573181">
              <w:rPr>
                <w:sz w:val="20"/>
                <w:szCs w:val="20"/>
              </w:rPr>
              <w:t>PNN+cf</w:t>
            </w:r>
          </w:p>
        </w:tc>
        <w:tc>
          <w:tcPr>
            <w:tcW w:w="1654" w:type="dxa"/>
          </w:tcPr>
          <w:p w:rsidR="00053D0D" w:rsidRPr="00573181" w:rsidRDefault="00053D0D" w:rsidP="00C043DD">
            <w:pPr>
              <w:tabs>
                <w:tab w:val="left" w:pos="2268"/>
              </w:tabs>
              <w:contextualSpacing/>
              <w:jc w:val="center"/>
              <w:rPr>
                <w:sz w:val="20"/>
                <w:szCs w:val="20"/>
              </w:rPr>
            </w:pPr>
            <w:r w:rsidRPr="00573181">
              <w:rPr>
                <w:sz w:val="20"/>
                <w:szCs w:val="20"/>
              </w:rPr>
              <w:t>Small</w:t>
            </w:r>
          </w:p>
        </w:tc>
        <w:tc>
          <w:tcPr>
            <w:tcW w:w="2796" w:type="dxa"/>
          </w:tcPr>
          <w:p w:rsidR="00053D0D" w:rsidRPr="00573181" w:rsidRDefault="00053D0D" w:rsidP="00C043DD">
            <w:pPr>
              <w:pStyle w:val="Default"/>
              <w:tabs>
                <w:tab w:val="left" w:pos="2268"/>
              </w:tabs>
              <w:jc w:val="center"/>
              <w:rPr>
                <w:sz w:val="20"/>
                <w:szCs w:val="20"/>
              </w:rPr>
            </w:pPr>
            <w:r w:rsidRPr="00573181">
              <w:rPr>
                <w:bCs/>
                <w:sz w:val="20"/>
                <w:szCs w:val="20"/>
              </w:rPr>
              <w:t>2019-nCoV Outbreak</w:t>
            </w:r>
          </w:p>
        </w:tc>
        <w:tc>
          <w:tcPr>
            <w:tcW w:w="835" w:type="dxa"/>
            <w:vAlign w:val="center"/>
          </w:tcPr>
          <w:p w:rsidR="00053D0D" w:rsidRDefault="00053D0D" w:rsidP="00C043DD">
            <w:pPr>
              <w:tabs>
                <w:tab w:val="left" w:pos="2268"/>
              </w:tabs>
              <w:jc w:val="center"/>
              <w:rPr>
                <w:rFonts w:eastAsia="Times New Roman"/>
                <w:color w:val="0E101A"/>
                <w:sz w:val="20"/>
                <w:szCs w:val="20"/>
              </w:rPr>
            </w:pPr>
            <w:r w:rsidRPr="00573181">
              <w:rPr>
                <w:rFonts w:eastAsia="Times New Roman"/>
                <w:color w:val="0E101A"/>
                <w:sz w:val="20"/>
                <w:szCs w:val="20"/>
              </w:rPr>
              <w:t>136.55</w:t>
            </w:r>
          </w:p>
          <w:p w:rsidR="00DA04F5" w:rsidRPr="00573181" w:rsidRDefault="00DA04F5" w:rsidP="00C043DD">
            <w:pPr>
              <w:tabs>
                <w:tab w:val="left" w:pos="2268"/>
              </w:tabs>
              <w:jc w:val="center"/>
              <w:rPr>
                <w:sz w:val="20"/>
                <w:szCs w:val="20"/>
              </w:rPr>
            </w:pPr>
          </w:p>
        </w:tc>
      </w:tr>
      <w:tr w:rsidR="00053D0D" w:rsidTr="0010430B">
        <w:trPr>
          <w:trHeight w:val="21"/>
        </w:trPr>
        <w:tc>
          <w:tcPr>
            <w:tcW w:w="1498" w:type="dxa"/>
            <w:vAlign w:val="center"/>
          </w:tcPr>
          <w:p w:rsidR="00053D0D" w:rsidRPr="00573181" w:rsidRDefault="00053D0D" w:rsidP="00C043DD">
            <w:pPr>
              <w:tabs>
                <w:tab w:val="left" w:pos="2268"/>
              </w:tabs>
              <w:contextualSpacing/>
              <w:jc w:val="center"/>
              <w:rPr>
                <w:rFonts w:eastAsia="Times New Roman"/>
                <w:bCs/>
                <w:color w:val="000000"/>
                <w:sz w:val="20"/>
                <w:szCs w:val="20"/>
              </w:rPr>
            </w:pPr>
            <w:r w:rsidRPr="00573181">
              <w:rPr>
                <w:bCs/>
                <w:color w:val="000000"/>
                <w:sz w:val="20"/>
                <w:szCs w:val="20"/>
              </w:rPr>
              <w:t>S. Janani et al.</w:t>
            </w:r>
          </w:p>
        </w:tc>
        <w:tc>
          <w:tcPr>
            <w:tcW w:w="1275" w:type="dxa"/>
            <w:vAlign w:val="center"/>
          </w:tcPr>
          <w:p w:rsidR="00053D0D" w:rsidRPr="00053D0D" w:rsidRDefault="00032D0A" w:rsidP="00C043DD">
            <w:pPr>
              <w:tabs>
                <w:tab w:val="left" w:pos="2268"/>
              </w:tabs>
              <w:contextualSpacing/>
              <w:jc w:val="center"/>
              <w:rPr>
                <w:bCs/>
                <w:color w:val="000000"/>
                <w:sz w:val="20"/>
                <w:szCs w:val="20"/>
              </w:rPr>
            </w:pPr>
            <w:r>
              <w:rPr>
                <w:bCs/>
                <w:color w:val="000000"/>
                <w:sz w:val="20"/>
                <w:szCs w:val="20"/>
              </w:rPr>
              <w:t>ML</w:t>
            </w:r>
          </w:p>
        </w:tc>
        <w:tc>
          <w:tcPr>
            <w:tcW w:w="1954" w:type="dxa"/>
            <w:vAlign w:val="center"/>
          </w:tcPr>
          <w:p w:rsidR="00053D0D" w:rsidRPr="00573181" w:rsidRDefault="00053D0D" w:rsidP="00C043DD">
            <w:pPr>
              <w:tabs>
                <w:tab w:val="left" w:pos="2268"/>
              </w:tabs>
              <w:contextualSpacing/>
              <w:jc w:val="center"/>
              <w:rPr>
                <w:rFonts w:eastAsia="Times New Roman"/>
                <w:color w:val="000000"/>
                <w:sz w:val="20"/>
                <w:szCs w:val="20"/>
              </w:rPr>
            </w:pPr>
            <w:r w:rsidRPr="00573181">
              <w:rPr>
                <w:bCs/>
                <w:color w:val="000000"/>
                <w:sz w:val="20"/>
                <w:szCs w:val="20"/>
              </w:rPr>
              <w:t>Bayesian network</w:t>
            </w:r>
          </w:p>
        </w:tc>
        <w:tc>
          <w:tcPr>
            <w:tcW w:w="1654" w:type="dxa"/>
          </w:tcPr>
          <w:p w:rsidR="00053D0D" w:rsidRPr="00573181" w:rsidRDefault="00053D0D" w:rsidP="00C043DD">
            <w:pPr>
              <w:tabs>
                <w:tab w:val="left" w:pos="2268"/>
              </w:tabs>
              <w:contextualSpacing/>
              <w:jc w:val="center"/>
              <w:rPr>
                <w:bCs/>
                <w:color w:val="000000"/>
                <w:sz w:val="20"/>
                <w:szCs w:val="20"/>
              </w:rPr>
            </w:pPr>
            <w:r w:rsidRPr="00573181">
              <w:rPr>
                <w:bCs/>
                <w:color w:val="000000"/>
                <w:sz w:val="20"/>
                <w:szCs w:val="20"/>
              </w:rPr>
              <w:t>Medium</w:t>
            </w:r>
          </w:p>
        </w:tc>
        <w:tc>
          <w:tcPr>
            <w:tcW w:w="2796" w:type="dxa"/>
          </w:tcPr>
          <w:p w:rsidR="00053D0D" w:rsidRPr="00573181" w:rsidRDefault="00053D0D" w:rsidP="00C043DD">
            <w:pPr>
              <w:tabs>
                <w:tab w:val="left" w:pos="2268"/>
              </w:tabs>
              <w:contextualSpacing/>
              <w:jc w:val="center"/>
              <w:rPr>
                <w:bCs/>
                <w:color w:val="000000"/>
                <w:sz w:val="20"/>
                <w:szCs w:val="20"/>
              </w:rPr>
            </w:pPr>
            <w:r>
              <w:rPr>
                <w:bCs/>
                <w:color w:val="000000"/>
                <w:sz w:val="20"/>
                <w:szCs w:val="20"/>
              </w:rPr>
              <w:t>H</w:t>
            </w:r>
            <w:r w:rsidRPr="00573181">
              <w:rPr>
                <w:bCs/>
                <w:color w:val="000000"/>
                <w:sz w:val="20"/>
                <w:szCs w:val="20"/>
              </w:rPr>
              <w:t>eart disease</w:t>
            </w:r>
          </w:p>
        </w:tc>
        <w:tc>
          <w:tcPr>
            <w:tcW w:w="835" w:type="dxa"/>
            <w:vAlign w:val="center"/>
          </w:tcPr>
          <w:p w:rsidR="00053D0D" w:rsidRDefault="00053D0D" w:rsidP="00C043DD">
            <w:pPr>
              <w:tabs>
                <w:tab w:val="left" w:pos="2268"/>
              </w:tabs>
              <w:jc w:val="center"/>
              <w:rPr>
                <w:sz w:val="20"/>
                <w:szCs w:val="20"/>
              </w:rPr>
            </w:pPr>
            <w:r w:rsidRPr="00573181">
              <w:rPr>
                <w:sz w:val="20"/>
                <w:szCs w:val="20"/>
              </w:rPr>
              <w:t>0.40</w:t>
            </w:r>
          </w:p>
          <w:p w:rsidR="00DA04F5" w:rsidRPr="00573181" w:rsidRDefault="00DA04F5" w:rsidP="00C043DD">
            <w:pPr>
              <w:tabs>
                <w:tab w:val="left" w:pos="2268"/>
              </w:tabs>
              <w:jc w:val="center"/>
              <w:rPr>
                <w:sz w:val="20"/>
                <w:szCs w:val="20"/>
              </w:rPr>
            </w:pPr>
          </w:p>
        </w:tc>
      </w:tr>
      <w:tr w:rsidR="00053D0D" w:rsidTr="0010430B">
        <w:trPr>
          <w:trHeight w:val="21"/>
        </w:trPr>
        <w:tc>
          <w:tcPr>
            <w:tcW w:w="1498" w:type="dxa"/>
            <w:vAlign w:val="center"/>
          </w:tcPr>
          <w:p w:rsidR="00053D0D" w:rsidRPr="00573181" w:rsidRDefault="00053D0D" w:rsidP="00C043DD">
            <w:pPr>
              <w:tabs>
                <w:tab w:val="left" w:pos="2268"/>
              </w:tabs>
              <w:contextualSpacing/>
              <w:jc w:val="center"/>
              <w:rPr>
                <w:rFonts w:eastAsia="Times New Roman"/>
                <w:color w:val="000000"/>
                <w:sz w:val="20"/>
                <w:szCs w:val="20"/>
              </w:rPr>
            </w:pPr>
            <w:r>
              <w:rPr>
                <w:sz w:val="20"/>
                <w:szCs w:val="20"/>
              </w:rPr>
              <w:t>Our</w:t>
            </w:r>
            <w:r>
              <w:rPr>
                <w:rFonts w:eastAsia="Times New Roman"/>
                <w:color w:val="000000"/>
                <w:sz w:val="20"/>
                <w:szCs w:val="20"/>
              </w:rPr>
              <w:t>m</w:t>
            </w:r>
            <w:r w:rsidRPr="00573181">
              <w:rPr>
                <w:rFonts w:eastAsia="Times New Roman"/>
                <w:color w:val="000000"/>
                <w:sz w:val="20"/>
                <w:szCs w:val="20"/>
              </w:rPr>
              <w:t>odel</w:t>
            </w:r>
          </w:p>
        </w:tc>
        <w:tc>
          <w:tcPr>
            <w:tcW w:w="1275" w:type="dxa"/>
            <w:vAlign w:val="center"/>
          </w:tcPr>
          <w:p w:rsidR="00053D0D" w:rsidRPr="00053D0D" w:rsidRDefault="00053D0D" w:rsidP="00C043DD">
            <w:pPr>
              <w:tabs>
                <w:tab w:val="left" w:pos="2268"/>
              </w:tabs>
              <w:contextualSpacing/>
              <w:jc w:val="center"/>
              <w:rPr>
                <w:sz w:val="20"/>
                <w:szCs w:val="20"/>
              </w:rPr>
            </w:pPr>
            <w:r w:rsidRPr="00053D0D">
              <w:rPr>
                <w:sz w:val="20"/>
                <w:szCs w:val="20"/>
              </w:rPr>
              <w:t>CFPSD</w:t>
            </w:r>
          </w:p>
        </w:tc>
        <w:tc>
          <w:tcPr>
            <w:tcW w:w="1954" w:type="dxa"/>
            <w:vAlign w:val="center"/>
          </w:tcPr>
          <w:p w:rsidR="00053D0D" w:rsidRPr="00573181" w:rsidRDefault="00053D0D" w:rsidP="00C043DD">
            <w:pPr>
              <w:tabs>
                <w:tab w:val="left" w:pos="2268"/>
              </w:tabs>
              <w:contextualSpacing/>
              <w:jc w:val="center"/>
              <w:rPr>
                <w:sz w:val="20"/>
                <w:szCs w:val="20"/>
              </w:rPr>
            </w:pPr>
            <w:r>
              <w:rPr>
                <w:sz w:val="20"/>
                <w:szCs w:val="20"/>
              </w:rPr>
              <w:t>RFM</w:t>
            </w:r>
          </w:p>
        </w:tc>
        <w:tc>
          <w:tcPr>
            <w:tcW w:w="1654" w:type="dxa"/>
          </w:tcPr>
          <w:p w:rsidR="00053D0D" w:rsidRPr="00573181" w:rsidRDefault="00053D0D" w:rsidP="00C043DD">
            <w:pPr>
              <w:tabs>
                <w:tab w:val="left" w:pos="2268"/>
              </w:tabs>
              <w:contextualSpacing/>
              <w:jc w:val="center"/>
              <w:rPr>
                <w:sz w:val="20"/>
                <w:szCs w:val="20"/>
              </w:rPr>
            </w:pPr>
            <w:r w:rsidRPr="00573181">
              <w:rPr>
                <w:sz w:val="20"/>
                <w:szCs w:val="20"/>
              </w:rPr>
              <w:t>Small</w:t>
            </w:r>
          </w:p>
        </w:tc>
        <w:tc>
          <w:tcPr>
            <w:tcW w:w="2796" w:type="dxa"/>
          </w:tcPr>
          <w:p w:rsidR="00053D0D" w:rsidRPr="00573181" w:rsidRDefault="00053D0D" w:rsidP="00C043DD">
            <w:pPr>
              <w:tabs>
                <w:tab w:val="left" w:pos="2268"/>
              </w:tabs>
              <w:contextualSpacing/>
              <w:jc w:val="center"/>
              <w:rPr>
                <w:sz w:val="20"/>
                <w:szCs w:val="20"/>
              </w:rPr>
            </w:pPr>
            <w:r w:rsidRPr="00573181">
              <w:rPr>
                <w:bCs/>
                <w:sz w:val="20"/>
                <w:szCs w:val="20"/>
              </w:rPr>
              <w:t>2019-nCoV Outbreak</w:t>
            </w:r>
          </w:p>
        </w:tc>
        <w:tc>
          <w:tcPr>
            <w:tcW w:w="835" w:type="dxa"/>
            <w:vAlign w:val="center"/>
          </w:tcPr>
          <w:p w:rsidR="00053D0D" w:rsidRPr="00573181" w:rsidRDefault="00053D0D" w:rsidP="00C043DD">
            <w:pPr>
              <w:tabs>
                <w:tab w:val="left" w:pos="2268"/>
              </w:tabs>
              <w:jc w:val="center"/>
              <w:rPr>
                <w:sz w:val="20"/>
                <w:szCs w:val="20"/>
              </w:rPr>
            </w:pPr>
            <w:r w:rsidRPr="00573181">
              <w:rPr>
                <w:sz w:val="20"/>
                <w:szCs w:val="20"/>
              </w:rPr>
              <w:t>0.14</w:t>
            </w:r>
          </w:p>
        </w:tc>
      </w:tr>
      <w:tr w:rsidR="00053D0D" w:rsidTr="0010430B">
        <w:trPr>
          <w:trHeight w:val="71"/>
        </w:trPr>
        <w:tc>
          <w:tcPr>
            <w:tcW w:w="1498" w:type="dxa"/>
            <w:vAlign w:val="center"/>
          </w:tcPr>
          <w:p w:rsidR="00053D0D" w:rsidRPr="00573181" w:rsidRDefault="00053D0D" w:rsidP="0053555B">
            <w:pPr>
              <w:contextualSpacing/>
              <w:jc w:val="center"/>
              <w:rPr>
                <w:rFonts w:eastAsia="Times New Roman"/>
                <w:color w:val="000000"/>
                <w:sz w:val="20"/>
                <w:szCs w:val="20"/>
              </w:rPr>
            </w:pPr>
          </w:p>
        </w:tc>
        <w:tc>
          <w:tcPr>
            <w:tcW w:w="1275" w:type="dxa"/>
          </w:tcPr>
          <w:p w:rsidR="00053D0D" w:rsidRPr="00053D0D" w:rsidRDefault="00053D0D" w:rsidP="00053D0D">
            <w:pPr>
              <w:contextualSpacing/>
              <w:rPr>
                <w:sz w:val="20"/>
                <w:szCs w:val="20"/>
              </w:rPr>
            </w:pPr>
          </w:p>
        </w:tc>
        <w:tc>
          <w:tcPr>
            <w:tcW w:w="1954" w:type="dxa"/>
          </w:tcPr>
          <w:p w:rsidR="00053D0D" w:rsidRPr="00573181" w:rsidRDefault="00053D0D" w:rsidP="0053555B">
            <w:pPr>
              <w:contextualSpacing/>
              <w:jc w:val="center"/>
              <w:rPr>
                <w:sz w:val="20"/>
                <w:szCs w:val="20"/>
              </w:rPr>
            </w:pPr>
          </w:p>
        </w:tc>
        <w:tc>
          <w:tcPr>
            <w:tcW w:w="1654" w:type="dxa"/>
          </w:tcPr>
          <w:p w:rsidR="00053D0D" w:rsidRPr="00573181" w:rsidRDefault="00053D0D" w:rsidP="0053555B">
            <w:pPr>
              <w:contextualSpacing/>
              <w:jc w:val="center"/>
              <w:rPr>
                <w:sz w:val="20"/>
                <w:szCs w:val="20"/>
              </w:rPr>
            </w:pPr>
          </w:p>
        </w:tc>
        <w:tc>
          <w:tcPr>
            <w:tcW w:w="2796" w:type="dxa"/>
          </w:tcPr>
          <w:p w:rsidR="00053D0D" w:rsidRPr="00573181" w:rsidRDefault="00053D0D" w:rsidP="0053555B">
            <w:pPr>
              <w:contextualSpacing/>
              <w:jc w:val="center"/>
              <w:rPr>
                <w:sz w:val="20"/>
                <w:szCs w:val="20"/>
              </w:rPr>
            </w:pPr>
          </w:p>
        </w:tc>
        <w:tc>
          <w:tcPr>
            <w:tcW w:w="835" w:type="dxa"/>
            <w:vAlign w:val="center"/>
          </w:tcPr>
          <w:p w:rsidR="00053D0D" w:rsidRPr="00573181" w:rsidRDefault="00053D0D" w:rsidP="0053555B">
            <w:pPr>
              <w:jc w:val="center"/>
              <w:rPr>
                <w:sz w:val="20"/>
                <w:szCs w:val="20"/>
              </w:rPr>
            </w:pPr>
          </w:p>
        </w:tc>
      </w:tr>
    </w:tbl>
    <w:p w:rsidR="00573181" w:rsidRPr="00410E19" w:rsidRDefault="00573181" w:rsidP="00CF35ED">
      <w:pPr>
        <w:contextualSpacing/>
        <w:rPr>
          <w:rFonts w:eastAsia="Times New Roman"/>
          <w:color w:val="000000"/>
          <w:sz w:val="20"/>
        </w:rPr>
        <w:sectPr w:rsidR="00573181" w:rsidRPr="00410E19" w:rsidSect="00573181">
          <w:type w:val="continuous"/>
          <w:pgSz w:w="11906" w:h="16838"/>
          <w:pgMar w:top="1134" w:right="851" w:bottom="1134" w:left="851" w:header="709" w:footer="709" w:gutter="0"/>
          <w:cols w:space="454"/>
          <w:docGrid w:linePitch="360"/>
        </w:sectPr>
      </w:pPr>
    </w:p>
    <w:p w:rsidR="008B023F" w:rsidRPr="000F534A" w:rsidRDefault="00AE4C26" w:rsidP="00144046">
      <w:pPr>
        <w:pStyle w:val="IETHeading1"/>
        <w:numPr>
          <w:ilvl w:val="0"/>
          <w:numId w:val="2"/>
        </w:numPr>
        <w:rPr>
          <w:rStyle w:val="apple-converted-space"/>
          <w:sz w:val="20"/>
          <w:szCs w:val="20"/>
        </w:rPr>
      </w:pPr>
      <w:r w:rsidRPr="0038726D">
        <w:rPr>
          <w:rStyle w:val="Strong"/>
          <w:b/>
          <w:sz w:val="20"/>
          <w:szCs w:val="20"/>
        </w:rPr>
        <w:t>Conclusion</w:t>
      </w:r>
    </w:p>
    <w:p w:rsidR="00D2473A" w:rsidRDefault="00AE4C26" w:rsidP="00D2473A">
      <w:pPr>
        <w:pStyle w:val="IETParagraph"/>
        <w:spacing w:line="240" w:lineRule="auto"/>
        <w:rPr>
          <w:sz w:val="20"/>
          <w:szCs w:val="18"/>
        </w:rPr>
      </w:pPr>
      <w:r w:rsidRPr="002657CC">
        <w:rPr>
          <w:sz w:val="20"/>
          <w:szCs w:val="18"/>
        </w:rPr>
        <w:t>A mutational impact on the protein molecule alters the biophysical characteristic, such as Protein-Protein Interactions (PPI)-thermodynamics. Therefore, assessment of any such alteration due to mutation between a pair of interacting proteins can usually be accomplished using faster computational methods such as Machine Learning. The widespread use of machine classifiers in handling complicated biological information as well as in the energetic or architectural features on proteins analysis offers sound forecast estimates in a reasonable time-frame. Lately, the pandemic outbreak of a 2019-nCoV poses a threat of international interest resulted in a shutdown of public services. The worldwide research highlighted some critical aspects of this epidemic, such as a structural property of 2019-nCoV, which binds to ACE2 with a higher affinity than SARS-CoV. The exponential increase in a 2019-nCoV tantrum, leading to the deaths of thousands, warrants the use of a new estimation mechanism that can be efficiently used on a small imprecise dataset. In this context, the proposed CFPSD model can facilitate an early evaluation of 2019-nCoV adversity, as it offers a relatively small RMSE of 0.136.  The proposed model is useful for a scarce dataset as it combines the merits of ML-predictions and statistical predictions, thereby offers a time-critical estimation mechanism for administrative counteracting induced by this unfortunate infectious outbreak.</w:t>
      </w:r>
    </w:p>
    <w:p w:rsidR="002657CC" w:rsidRPr="00D2473A" w:rsidRDefault="00AE4C26" w:rsidP="00D2473A">
      <w:pPr>
        <w:pStyle w:val="IETParagraph"/>
        <w:spacing w:line="240" w:lineRule="auto"/>
        <w:rPr>
          <w:sz w:val="20"/>
          <w:szCs w:val="20"/>
        </w:rPr>
      </w:pPr>
      <w:r w:rsidRPr="00F12689">
        <w:rPr>
          <w:sz w:val="20"/>
          <w:szCs w:val="20"/>
        </w:rPr>
        <w:t xml:space="preserve">The outcome of the proposed collaboration is very encouraging. Notwithstanding, with the result, we compared the performance of the CFPSD model with MLP-lag and BATS method, where it performed admirably. </w:t>
      </w:r>
      <w:r w:rsidR="00F418B9" w:rsidRPr="00346C80">
        <w:rPr>
          <w:sz w:val="20"/>
          <w:szCs w:val="20"/>
        </w:rPr>
        <w:t>We also examined some similar collaborative strategies used on medium and small datasets against our model and observed that despite using small scale data, our proposed model performed satisfactorily.</w:t>
      </w:r>
      <w:r w:rsidRPr="00F12689">
        <w:rPr>
          <w:sz w:val="20"/>
          <w:szCs w:val="20"/>
        </w:rPr>
        <w:t xml:space="preserve"> The proposed work incorporated a three-layer approach consisting of augmentation, a mixture of conventional and ML-based forecasting methods, and performance validation with two widely used time-series forecasting techniques. However, the deviation in predictions offered by different estimation methods used in this publication warrants an in-depth examination further. The RMSE outcomes achieved using the methods participated in CFPSD may help in probing new algorithms breeds that fit well in the small scale dataset. The minimum RMSE of the participating members of CFPSD remains the sole consideration to evaluate its performance. Though, the 2019-nCoV pandemic escalates or plunges with time are complicated and depends on multiple socio-economic factors. </w:t>
      </w:r>
      <w:r w:rsidR="00DA04F5" w:rsidRPr="00DA04F5">
        <w:rPr>
          <w:sz w:val="20"/>
          <w:szCs w:val="20"/>
        </w:rPr>
        <w:t>The use of the WHO dataset in estimating human casualties is essential. Still, CFPSD can be more productive by considering non-technical components that can aid authorities in making reliable decisions.</w:t>
      </w:r>
      <w:bookmarkStart w:id="0" w:name="_GoBack"/>
      <w:bookmarkEnd w:id="0"/>
    </w:p>
    <w:p w:rsidR="002C559D" w:rsidRPr="000F534A" w:rsidRDefault="00AE4C26" w:rsidP="00144046">
      <w:pPr>
        <w:pStyle w:val="IETHeading1"/>
        <w:numPr>
          <w:ilvl w:val="0"/>
          <w:numId w:val="2"/>
        </w:numPr>
        <w:rPr>
          <w:sz w:val="20"/>
          <w:szCs w:val="20"/>
        </w:rPr>
      </w:pPr>
      <w:r w:rsidRPr="000F534A">
        <w:rPr>
          <w:sz w:val="20"/>
          <w:szCs w:val="20"/>
        </w:rPr>
        <w:t>References</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Su, S., Wong, G., Shi, W., Liu, J., Lai, A.C.K., Zhou, J., Liu, W., Bi, Y.</w:t>
      </w:r>
      <w:r w:rsidR="002C210C">
        <w:rPr>
          <w:sz w:val="20"/>
          <w:szCs w:val="20"/>
        </w:rPr>
        <w:t xml:space="preserve">, </w:t>
      </w:r>
      <w:r w:rsidRPr="002F7309">
        <w:rPr>
          <w:sz w:val="20"/>
          <w:szCs w:val="20"/>
        </w:rPr>
        <w:t xml:space="preserve">Gao, G.F.: ‘Epidemiology, genetic recombination, and pathogenesis of coronaviruses’, Trends in Microbiology, 2016, 24, (6), pp. 490–502 </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Cavanagh, D.: ‘Coronavirus avian infectious bronchitis virus’, Veterinary Research, 2007, 38, (2), pp. 281–97</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Ismail, M.M., Tang, A.Y.</w:t>
      </w:r>
      <w:r w:rsidR="00C54149">
        <w:rPr>
          <w:sz w:val="20"/>
          <w:szCs w:val="20"/>
        </w:rPr>
        <w:t>,</w:t>
      </w:r>
      <w:r w:rsidRPr="002F7309">
        <w:rPr>
          <w:sz w:val="20"/>
          <w:szCs w:val="20"/>
        </w:rPr>
        <w:t>Saif, Y.M.: ‘Pathogenicity of turkey coronavirus in turkeys and chickens’, Avian Diseases, 2003, 47, (3), pp. 515–522</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Woo, P.C.Y., Huang, Y., Lau,</w:t>
      </w:r>
      <w:r w:rsidR="00BF338E">
        <w:rPr>
          <w:sz w:val="20"/>
          <w:szCs w:val="20"/>
        </w:rPr>
        <w:t xml:space="preserve"> S.K.P.,</w:t>
      </w:r>
      <w:r w:rsidRPr="002F7309">
        <w:rPr>
          <w:sz w:val="20"/>
          <w:szCs w:val="20"/>
        </w:rPr>
        <w:t xml:space="preserve"> Yuen, K.Y.: ‘Coronavirus Genomics and Bioinformatics Analysis’, Viruses, 2010, 2, (8), pp. 1804–1820</w:t>
      </w:r>
    </w:p>
    <w:p w:rsidR="00511DBE" w:rsidRDefault="00AE4C26" w:rsidP="00144046">
      <w:pPr>
        <w:pStyle w:val="Author"/>
        <w:numPr>
          <w:ilvl w:val="0"/>
          <w:numId w:val="9"/>
        </w:numPr>
        <w:spacing w:before="0" w:line="240" w:lineRule="auto"/>
        <w:jc w:val="both"/>
        <w:rPr>
          <w:sz w:val="20"/>
          <w:szCs w:val="20"/>
        </w:rPr>
      </w:pPr>
      <w:r w:rsidRPr="002F7309">
        <w:rPr>
          <w:sz w:val="20"/>
          <w:szCs w:val="20"/>
        </w:rPr>
        <w:t>Zaki, A.M., Boheemen, S.V., Bestebroer, T.M., Osterhaus, A.D.</w:t>
      </w:r>
      <w:r w:rsidR="008259BB">
        <w:rPr>
          <w:sz w:val="20"/>
          <w:szCs w:val="20"/>
        </w:rPr>
        <w:t>,</w:t>
      </w:r>
      <w:r w:rsidRPr="002F7309">
        <w:rPr>
          <w:sz w:val="20"/>
          <w:szCs w:val="20"/>
        </w:rPr>
        <w:t>Fouchier, R.A.: ‘Isolation of a novel coronavirus from a man with pneumonia in Saudi Arabia’, N. Engl. J. Med., 2012, 367, (19), pp. 1814–1820</w:t>
      </w:r>
    </w:p>
    <w:p w:rsidR="00DC76F8" w:rsidRPr="002F7309" w:rsidRDefault="00AE4C26" w:rsidP="00144046">
      <w:pPr>
        <w:pStyle w:val="Author"/>
        <w:numPr>
          <w:ilvl w:val="0"/>
          <w:numId w:val="9"/>
        </w:numPr>
        <w:spacing w:before="0" w:line="240" w:lineRule="auto"/>
        <w:jc w:val="both"/>
        <w:rPr>
          <w:sz w:val="20"/>
          <w:szCs w:val="20"/>
        </w:rPr>
      </w:pPr>
      <w:r w:rsidRPr="00FF4644">
        <w:rPr>
          <w:sz w:val="20"/>
          <w:szCs w:val="20"/>
        </w:rPr>
        <w:t>Gale, J.: ‘Coronavirus May Transmit Along Fecal-Oral Route’, Xinhua Reports, February 2020</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Guo, Q., Li, M., Wang, C., Wang, P., Fang, Z., Tan, J., Wu, S., Xiao</w:t>
      </w:r>
      <w:r w:rsidR="005953D7">
        <w:rPr>
          <w:sz w:val="20"/>
          <w:szCs w:val="20"/>
        </w:rPr>
        <w:t>, Y.,</w:t>
      </w:r>
      <w:r w:rsidRPr="002F7309">
        <w:rPr>
          <w:sz w:val="20"/>
          <w:szCs w:val="20"/>
        </w:rPr>
        <w:t xml:space="preserve"> Zhu1,</w:t>
      </w:r>
      <w:r w:rsidR="005953D7">
        <w:rPr>
          <w:sz w:val="20"/>
          <w:szCs w:val="20"/>
        </w:rPr>
        <w:t xml:space="preserve"> H.</w:t>
      </w:r>
      <w:r w:rsidRPr="002F7309">
        <w:rPr>
          <w:sz w:val="20"/>
          <w:szCs w:val="20"/>
        </w:rPr>
        <w:t>: ‘Host and infectivity prediction of Wuhan 2019 novel coronavirus using deep learning algorithm’, bioRxiv</w:t>
      </w:r>
      <w:r w:rsidR="006C08B5" w:rsidRPr="006C08B5">
        <w:rPr>
          <w:sz w:val="20"/>
          <w:szCs w:val="20"/>
        </w:rPr>
        <w:t>2020.01.21.914044</w:t>
      </w:r>
      <w:r w:rsidRPr="002F7309">
        <w:rPr>
          <w:sz w:val="20"/>
          <w:szCs w:val="20"/>
        </w:rPr>
        <w:t>, 2020</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Read, J.M., Bridgen, J.R.E., Cummings, D</w:t>
      </w:r>
      <w:r w:rsidR="002601A3">
        <w:rPr>
          <w:sz w:val="20"/>
          <w:szCs w:val="20"/>
        </w:rPr>
        <w:t>.A.T., Ho, A., Jewell, C.P.</w:t>
      </w:r>
      <w:r w:rsidRPr="002F7309">
        <w:rPr>
          <w:sz w:val="20"/>
          <w:szCs w:val="20"/>
        </w:rPr>
        <w:t>: ‘Novel coronavirus 2019-nCoV: early estimation of epidemiological parameters and epidemic predictions’, medRxiv</w:t>
      </w:r>
      <w:r w:rsidR="00FB4523" w:rsidRPr="00FB4523">
        <w:rPr>
          <w:sz w:val="20"/>
          <w:szCs w:val="20"/>
        </w:rPr>
        <w:t>2020.01.23.20018549</w:t>
      </w:r>
      <w:r w:rsidRPr="002F7309">
        <w:rPr>
          <w:sz w:val="20"/>
          <w:szCs w:val="20"/>
        </w:rPr>
        <w:t>, 2020</w:t>
      </w:r>
    </w:p>
    <w:p w:rsidR="00511DBE" w:rsidRPr="002F7309" w:rsidRDefault="00AE4C26" w:rsidP="00144046">
      <w:pPr>
        <w:pStyle w:val="Author"/>
        <w:numPr>
          <w:ilvl w:val="0"/>
          <w:numId w:val="9"/>
        </w:numPr>
        <w:spacing w:before="0" w:line="240" w:lineRule="auto"/>
        <w:jc w:val="both"/>
        <w:rPr>
          <w:sz w:val="20"/>
          <w:szCs w:val="20"/>
        </w:rPr>
      </w:pPr>
      <w:r>
        <w:rPr>
          <w:sz w:val="20"/>
          <w:szCs w:val="20"/>
        </w:rPr>
        <w:t>Ho, T.K.</w:t>
      </w:r>
      <w:r w:rsidRPr="002F7309">
        <w:rPr>
          <w:sz w:val="20"/>
          <w:szCs w:val="20"/>
        </w:rPr>
        <w:t xml:space="preserve">: ‘The random subspace method for constructing decision forests’, </w:t>
      </w:r>
      <w:r w:rsidRPr="002F7309">
        <w:rPr>
          <w:iCs/>
          <w:sz w:val="20"/>
          <w:szCs w:val="20"/>
        </w:rPr>
        <w:t>IEEE Transactions on Pattern Analysis and Machine Intelligence</w:t>
      </w:r>
      <w:r>
        <w:rPr>
          <w:sz w:val="20"/>
          <w:szCs w:val="20"/>
        </w:rPr>
        <w:t>, 1998, 20, (8), pp. 832-844</w:t>
      </w:r>
    </w:p>
    <w:p w:rsidR="00511DBE" w:rsidRPr="002F7309" w:rsidRDefault="00AE4C26" w:rsidP="00144046">
      <w:pPr>
        <w:pStyle w:val="Author"/>
        <w:numPr>
          <w:ilvl w:val="0"/>
          <w:numId w:val="9"/>
        </w:numPr>
        <w:spacing w:before="0" w:line="240" w:lineRule="auto"/>
        <w:jc w:val="both"/>
        <w:rPr>
          <w:sz w:val="20"/>
          <w:szCs w:val="20"/>
        </w:rPr>
      </w:pPr>
      <w:r>
        <w:rPr>
          <w:sz w:val="20"/>
          <w:szCs w:val="20"/>
        </w:rPr>
        <w:t>Rosenblatt, F.</w:t>
      </w:r>
      <w:r w:rsidRPr="002F7309">
        <w:rPr>
          <w:sz w:val="20"/>
          <w:szCs w:val="20"/>
        </w:rPr>
        <w:t>: ‘Principles of Neurodynamics: Perceptrons and the Theory of Brain Mechanisms’, Spartan Books, Washington DC, 1961</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‘WHO | Novel Coronavirus – China’, Situation report archived from WHO, https://www.who.int/emergencies/diseases/novel-coronavirus-2019/situation-reports, accessed 14th February 2020</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Smith</w:t>
      </w:r>
      <w:r w:rsidR="003E12B3">
        <w:rPr>
          <w:sz w:val="20"/>
          <w:szCs w:val="20"/>
        </w:rPr>
        <w:t>, A.,</w:t>
      </w:r>
      <w:r w:rsidRPr="002F7309">
        <w:rPr>
          <w:sz w:val="20"/>
          <w:szCs w:val="20"/>
        </w:rPr>
        <w:t xml:space="preserve"> Tony, C.: ‘Introducing machine learning concepts with WEKA</w:t>
      </w:r>
      <w:r w:rsidR="00883712">
        <w:rPr>
          <w:sz w:val="20"/>
          <w:szCs w:val="20"/>
        </w:rPr>
        <w:t>’</w:t>
      </w:r>
      <w:r w:rsidR="0048010E">
        <w:rPr>
          <w:sz w:val="20"/>
          <w:szCs w:val="20"/>
        </w:rPr>
        <w:t>,</w:t>
      </w:r>
      <w:r w:rsidR="002B7663">
        <w:rPr>
          <w:sz w:val="20"/>
          <w:szCs w:val="20"/>
        </w:rPr>
        <w:t xml:space="preserve"> Statistical Genomics</w:t>
      </w:r>
      <w:r w:rsidR="0048010E" w:rsidRPr="0048010E">
        <w:rPr>
          <w:sz w:val="20"/>
          <w:szCs w:val="20"/>
        </w:rPr>
        <w:t xml:space="preserve"> Methods in Molecular Biology, Humana Press, New York, </w:t>
      </w:r>
      <w:r w:rsidRPr="002F7309">
        <w:rPr>
          <w:sz w:val="20"/>
          <w:szCs w:val="20"/>
        </w:rPr>
        <w:t xml:space="preserve">2016, 1418, pp. 353-378 </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Hyndman, R.J., Athanasopoulos, G., Bergmeir, C., Caceres, G., Chhay, L., O'Hara-Wild, M., Petropoulos, F., Razbash, S., Wang, E.</w:t>
      </w:r>
      <w:r w:rsidR="005B6A10">
        <w:rPr>
          <w:sz w:val="20"/>
          <w:szCs w:val="20"/>
        </w:rPr>
        <w:t>,</w:t>
      </w:r>
      <w:r w:rsidRPr="002F7309">
        <w:rPr>
          <w:sz w:val="20"/>
          <w:szCs w:val="20"/>
        </w:rPr>
        <w:t>Yasmeen, F.: ‘forecast: Forecasting functions for time series and linear models’, R package version 8.4, http://pkg</w:t>
      </w:r>
      <w:r w:rsidR="005C2D81">
        <w:rPr>
          <w:sz w:val="20"/>
          <w:szCs w:val="20"/>
        </w:rPr>
        <w:t>.robjhyndman.com/forecast, 2018</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Hyndman, R.J., Khandakar, Y</w:t>
      </w:r>
      <w:r w:rsidR="000E315C">
        <w:rPr>
          <w:sz w:val="20"/>
          <w:szCs w:val="20"/>
        </w:rPr>
        <w:t>.</w:t>
      </w:r>
      <w:r w:rsidRPr="002F7309">
        <w:rPr>
          <w:sz w:val="20"/>
          <w:szCs w:val="20"/>
        </w:rPr>
        <w:t>: ‘Automatic time series forecasting: the forecast package for R’, Journal of statistical software, 2008, 26, (3), pp. 1-22</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R Core Team, ‘R: A language and environment for statistical computing’, R Foundation for Statistical Computing, Vienna, Austria, https://www.R-project.org</w:t>
      </w:r>
      <w:r w:rsidR="006D6B01" w:rsidRPr="002F7309">
        <w:rPr>
          <w:sz w:val="20"/>
          <w:szCs w:val="20"/>
        </w:rPr>
        <w:t>, 2019</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Box, G.E.P.,Jenkins, G.M.: ‘Time series analysis: Forecasting and control’, Holden-Day, San Francisco, 1970</w:t>
      </w:r>
    </w:p>
    <w:p w:rsidR="00511DBE" w:rsidRPr="002F7309" w:rsidRDefault="00AE4C26" w:rsidP="00144046">
      <w:pPr>
        <w:pStyle w:val="Author"/>
        <w:numPr>
          <w:ilvl w:val="0"/>
          <w:numId w:val="9"/>
        </w:numPr>
        <w:spacing w:before="0" w:line="240" w:lineRule="auto"/>
        <w:jc w:val="both"/>
        <w:rPr>
          <w:sz w:val="20"/>
          <w:szCs w:val="20"/>
        </w:rPr>
      </w:pPr>
      <w:r w:rsidRPr="002F7309">
        <w:rPr>
          <w:sz w:val="20"/>
          <w:szCs w:val="20"/>
        </w:rPr>
        <w:t xml:space="preserve">Zhang, </w:t>
      </w:r>
      <w:r w:rsidR="00CD5B02">
        <w:rPr>
          <w:sz w:val="20"/>
          <w:szCs w:val="20"/>
        </w:rPr>
        <w:t>M.</w:t>
      </w:r>
      <w:r w:rsidRPr="002F7309">
        <w:rPr>
          <w:sz w:val="20"/>
          <w:szCs w:val="20"/>
        </w:rPr>
        <w:t>: ‘Time Series: Autoregressive Models AR, MA, ARMA, ARIMA’, University of Pittsburgh, October 2018</w:t>
      </w:r>
    </w:p>
    <w:p w:rsidR="003F553E" w:rsidRPr="003F553E" w:rsidRDefault="00AE4C26" w:rsidP="003F553E">
      <w:pPr>
        <w:pStyle w:val="Author"/>
        <w:numPr>
          <w:ilvl w:val="0"/>
          <w:numId w:val="9"/>
        </w:numPr>
        <w:spacing w:before="0" w:line="240" w:lineRule="auto"/>
        <w:jc w:val="both"/>
        <w:rPr>
          <w:sz w:val="20"/>
          <w:szCs w:val="20"/>
        </w:rPr>
      </w:pPr>
      <w:r w:rsidRPr="002F7309">
        <w:rPr>
          <w:sz w:val="20"/>
          <w:szCs w:val="20"/>
        </w:rPr>
        <w:t>Hyndman, R.J.,</w:t>
      </w:r>
      <w:r w:rsidR="00BA2CEA">
        <w:rPr>
          <w:sz w:val="20"/>
          <w:szCs w:val="20"/>
        </w:rPr>
        <w:t xml:space="preserve"> and</w:t>
      </w:r>
      <w:r w:rsidRPr="002F7309">
        <w:rPr>
          <w:sz w:val="20"/>
          <w:szCs w:val="20"/>
        </w:rPr>
        <w:t>Athanasopoulos, G.: ‘Foreca</w:t>
      </w:r>
      <w:r w:rsidR="003025DC">
        <w:rPr>
          <w:sz w:val="20"/>
          <w:szCs w:val="20"/>
        </w:rPr>
        <w:t>sting: principles and practice’</w:t>
      </w:r>
      <w:r w:rsidR="00BA2CEA">
        <w:rPr>
          <w:sz w:val="20"/>
          <w:szCs w:val="20"/>
        </w:rPr>
        <w:t>(</w:t>
      </w:r>
      <w:r w:rsidR="00880F0D">
        <w:rPr>
          <w:sz w:val="20"/>
          <w:szCs w:val="20"/>
        </w:rPr>
        <w:t xml:space="preserve">OTexts: Melbourne, Australia, </w:t>
      </w:r>
      <w:r w:rsidR="00BA2CEA">
        <w:rPr>
          <w:sz w:val="20"/>
          <w:szCs w:val="20"/>
        </w:rPr>
        <w:t>3rd ed</w:t>
      </w:r>
      <w:r w:rsidR="00DA6166">
        <w:rPr>
          <w:sz w:val="20"/>
          <w:szCs w:val="20"/>
        </w:rPr>
        <w:t>n.</w:t>
      </w:r>
      <w:r w:rsidR="00BA2CEA">
        <w:rPr>
          <w:sz w:val="20"/>
          <w:szCs w:val="20"/>
        </w:rPr>
        <w:t xml:space="preserve"> 2019)</w:t>
      </w:r>
    </w:p>
    <w:p w:rsidR="003F553E" w:rsidRPr="00BB4DA2" w:rsidRDefault="003F553E" w:rsidP="003F553E">
      <w:pPr>
        <w:pStyle w:val="Author"/>
        <w:numPr>
          <w:ilvl w:val="0"/>
          <w:numId w:val="9"/>
        </w:numPr>
        <w:spacing w:before="0" w:line="240" w:lineRule="auto"/>
        <w:jc w:val="both"/>
        <w:rPr>
          <w:sz w:val="20"/>
          <w:szCs w:val="20"/>
        </w:rPr>
      </w:pPr>
      <w:r w:rsidRPr="00BB4DA2">
        <w:rPr>
          <w:sz w:val="20"/>
          <w:szCs w:val="20"/>
        </w:rPr>
        <w:t>Zheng, A., Fang, Q., Zhu, Y., Jiang, C., Jin, F., Wang, X.: ‘An application of ARIMA model for predicting total health expenditure in China from 1978-2022’, Journal of Global Health, 2020, 10, (1), pp. 1-8</w:t>
      </w:r>
    </w:p>
    <w:p w:rsidR="003F553E" w:rsidRPr="009865C6" w:rsidRDefault="003F553E" w:rsidP="003F553E">
      <w:pPr>
        <w:pStyle w:val="Author"/>
        <w:numPr>
          <w:ilvl w:val="0"/>
          <w:numId w:val="9"/>
        </w:numPr>
        <w:spacing w:before="0" w:line="240" w:lineRule="auto"/>
        <w:jc w:val="both"/>
        <w:rPr>
          <w:sz w:val="20"/>
          <w:szCs w:val="20"/>
        </w:rPr>
      </w:pPr>
      <w:r w:rsidRPr="009865C6">
        <w:rPr>
          <w:sz w:val="20"/>
          <w:szCs w:val="20"/>
        </w:rPr>
        <w:t>Wang, L., Liang, C., Wu, W., Wu, S., Yang, J., Lu, X., Jin, C., Cuihong, J.: ‘Epidemic Situation of Brucellosis in Jinzhou City of China and Prediction Using the ARIMA Model’, Canadian Journal of Infectious Diseases and Medical Microbiology, 2019, pp. 1-9</w:t>
      </w:r>
    </w:p>
    <w:p w:rsidR="003F553E" w:rsidRPr="007518B6" w:rsidRDefault="003F553E" w:rsidP="003F553E">
      <w:pPr>
        <w:pStyle w:val="Author"/>
        <w:numPr>
          <w:ilvl w:val="0"/>
          <w:numId w:val="9"/>
        </w:numPr>
        <w:spacing w:before="0" w:line="240" w:lineRule="auto"/>
        <w:jc w:val="both"/>
        <w:rPr>
          <w:sz w:val="20"/>
          <w:szCs w:val="20"/>
        </w:rPr>
      </w:pPr>
      <w:r w:rsidRPr="002A44C8">
        <w:rPr>
          <w:sz w:val="20"/>
          <w:szCs w:val="20"/>
        </w:rPr>
        <w:t>Liu, H., Li, C., Shao, Y., Zhang, X., Zhai, Z., Wang, X., Qi, X., Wang, J., Hao, Y., Wu, Q., Jiao, M.: ‘Forecast of the trend in incidence of acute hemorrhagic conjunctivitis in China from 2011–2019 using the Seasonal Autoregressive Integrated Moving Average (SARIMA) and Exponential Smoothing (ETS) models’, Journal of Infection and Public Health, 2020, 13, (2), pp. 287-294</w:t>
      </w:r>
    </w:p>
    <w:p w:rsidR="003F553E" w:rsidRPr="00C7468B" w:rsidRDefault="003F553E" w:rsidP="003F553E">
      <w:pPr>
        <w:pStyle w:val="Author"/>
        <w:numPr>
          <w:ilvl w:val="0"/>
          <w:numId w:val="9"/>
        </w:numPr>
        <w:spacing w:before="0" w:line="240" w:lineRule="auto"/>
        <w:jc w:val="both"/>
        <w:rPr>
          <w:sz w:val="20"/>
          <w:szCs w:val="20"/>
        </w:rPr>
      </w:pPr>
      <w:r w:rsidRPr="007518B6">
        <w:rPr>
          <w:sz w:val="20"/>
          <w:szCs w:val="20"/>
        </w:rPr>
        <w:t>Tseng, Y.J., Shih, Y.L.: ‘Developing epidemic forecasting models to assist disease surveillance for influenza with electronic health records’, International Journal of Computers and Applications, 2019, pp. 1-6</w:t>
      </w:r>
    </w:p>
    <w:p w:rsidR="003F553E" w:rsidRDefault="003F553E" w:rsidP="003F553E">
      <w:pPr>
        <w:pStyle w:val="Author"/>
        <w:numPr>
          <w:ilvl w:val="0"/>
          <w:numId w:val="9"/>
        </w:numPr>
        <w:spacing w:before="0" w:line="240" w:lineRule="auto"/>
        <w:jc w:val="both"/>
        <w:rPr>
          <w:sz w:val="20"/>
          <w:szCs w:val="20"/>
        </w:rPr>
      </w:pPr>
      <w:r w:rsidRPr="00C7468B">
        <w:rPr>
          <w:sz w:val="20"/>
          <w:szCs w:val="20"/>
        </w:rPr>
        <w:t>Ordu, M., Demir, E., Tofallis, C.: ‘A comprehensive modelling framework to forecast the demand for all hospital services’, The International journal of h</w:t>
      </w:r>
      <w:r w:rsidRPr="00744410">
        <w:rPr>
          <w:sz w:val="20"/>
          <w:szCs w:val="20"/>
        </w:rPr>
        <w:t>ealth planning and management, 2019, 34, (2), pp. e1257-e1271</w:t>
      </w:r>
    </w:p>
    <w:p w:rsidR="003F553E" w:rsidRPr="00744410" w:rsidRDefault="003F553E" w:rsidP="003F553E">
      <w:pPr>
        <w:pStyle w:val="Author"/>
        <w:numPr>
          <w:ilvl w:val="0"/>
          <w:numId w:val="9"/>
        </w:numPr>
        <w:spacing w:before="0" w:line="240" w:lineRule="auto"/>
        <w:jc w:val="both"/>
        <w:rPr>
          <w:sz w:val="20"/>
          <w:szCs w:val="20"/>
        </w:rPr>
      </w:pPr>
      <w:r w:rsidRPr="003F553E">
        <w:rPr>
          <w:sz w:val="20"/>
          <w:szCs w:val="20"/>
        </w:rPr>
        <w:t>‘BATS Model – R Documentation’,  https://www.rdocumentation.org/packages/forecast/versions/8.11/topics/bats, accessed 19 March 2020</w:t>
      </w:r>
    </w:p>
    <w:p w:rsidR="003F553E" w:rsidRPr="00924011" w:rsidRDefault="003F553E" w:rsidP="00924011">
      <w:pPr>
        <w:pStyle w:val="Author"/>
        <w:numPr>
          <w:ilvl w:val="0"/>
          <w:numId w:val="9"/>
        </w:numPr>
        <w:spacing w:before="0" w:line="240" w:lineRule="auto"/>
        <w:jc w:val="both"/>
        <w:rPr>
          <w:sz w:val="20"/>
          <w:szCs w:val="20"/>
        </w:rPr>
      </w:pPr>
      <w:r w:rsidRPr="003D420C">
        <w:rPr>
          <w:sz w:val="20"/>
          <w:szCs w:val="20"/>
        </w:rPr>
        <w:t xml:space="preserve">Pryima, S., Vovk, R., Vovk, V.: ‘Using Artificial Neural Networks to Forecast Stock Market Indices’, </w:t>
      </w:r>
      <w:r w:rsidRPr="003F553E">
        <w:rPr>
          <w:sz w:val="20"/>
          <w:szCs w:val="20"/>
        </w:rPr>
        <w:t>2019 XIth International Scientific and Practical Conference on Electronics and Information Technologies (ELIT)</w:t>
      </w:r>
      <w:r w:rsidRPr="003D420C">
        <w:rPr>
          <w:sz w:val="20"/>
          <w:szCs w:val="20"/>
        </w:rPr>
        <w:t>, Lviv, Ukraine, September 2019, pp. 108-112</w:t>
      </w:r>
    </w:p>
    <w:p w:rsidR="003F553E" w:rsidRDefault="003F553E" w:rsidP="003F553E">
      <w:pPr>
        <w:pStyle w:val="Author"/>
        <w:numPr>
          <w:ilvl w:val="0"/>
          <w:numId w:val="9"/>
        </w:numPr>
        <w:spacing w:before="0" w:line="240" w:lineRule="auto"/>
        <w:jc w:val="both"/>
        <w:rPr>
          <w:sz w:val="20"/>
          <w:szCs w:val="20"/>
        </w:rPr>
      </w:pPr>
      <w:r w:rsidRPr="001536EA">
        <w:rPr>
          <w:sz w:val="20"/>
          <w:szCs w:val="20"/>
        </w:rPr>
        <w:t xml:space="preserve">ZhiYuan, C., Khoa, L.D.V., Boon, L.S.: ‘A Hybrid Model of Differential Evolution with Neural Network on Lag Time Selection for Agricultural Price Time Series Forecasting’, Advances in </w:t>
      </w:r>
      <w:r w:rsidRPr="003F553E">
        <w:rPr>
          <w:sz w:val="20"/>
          <w:szCs w:val="20"/>
        </w:rPr>
        <w:t>International Visual Informatics Conference</w:t>
      </w:r>
      <w:r w:rsidRPr="001536EA">
        <w:rPr>
          <w:sz w:val="20"/>
          <w:szCs w:val="20"/>
        </w:rPr>
        <w:t>, Springer, Cham, November  2017, pp. 155-167</w:t>
      </w:r>
    </w:p>
    <w:p w:rsidR="003F553E" w:rsidRPr="003F553E" w:rsidRDefault="003F553E" w:rsidP="003F553E">
      <w:pPr>
        <w:pStyle w:val="Author"/>
        <w:numPr>
          <w:ilvl w:val="0"/>
          <w:numId w:val="9"/>
        </w:numPr>
        <w:spacing w:before="0" w:line="240" w:lineRule="auto"/>
        <w:jc w:val="both"/>
        <w:rPr>
          <w:sz w:val="20"/>
          <w:szCs w:val="20"/>
        </w:rPr>
      </w:pPr>
      <w:r w:rsidRPr="003F553E">
        <w:rPr>
          <w:sz w:val="20"/>
          <w:szCs w:val="20"/>
        </w:rPr>
        <w:t xml:space="preserve"> ‘BATS and TBATS Model’, https://yintingchou.com/posts/bats-and-tbats-model, accessed 19 March 2020</w:t>
      </w:r>
    </w:p>
    <w:p w:rsidR="003F553E" w:rsidRPr="003F553E" w:rsidRDefault="003F553E" w:rsidP="003F553E">
      <w:pPr>
        <w:pStyle w:val="Author"/>
        <w:numPr>
          <w:ilvl w:val="0"/>
          <w:numId w:val="9"/>
        </w:numPr>
        <w:spacing w:before="0" w:line="240" w:lineRule="auto"/>
        <w:jc w:val="both"/>
        <w:rPr>
          <w:sz w:val="20"/>
          <w:szCs w:val="20"/>
        </w:rPr>
      </w:pPr>
      <w:r w:rsidRPr="003F553E">
        <w:rPr>
          <w:sz w:val="20"/>
          <w:szCs w:val="20"/>
        </w:rPr>
        <w:t>Naim, I., Mahara, T., Idrisi, A.: ‘Effective short-term forecasting for daily time series with complex seasonal patterns’, Procedia computer science, 2018, 132, pp. 1832-1841</w:t>
      </w:r>
    </w:p>
    <w:p w:rsidR="003F553E" w:rsidRPr="003F553E" w:rsidRDefault="003F553E" w:rsidP="003F553E">
      <w:pPr>
        <w:pStyle w:val="Author"/>
        <w:numPr>
          <w:ilvl w:val="0"/>
          <w:numId w:val="9"/>
        </w:numPr>
        <w:spacing w:before="0" w:line="240" w:lineRule="auto"/>
        <w:jc w:val="both"/>
        <w:rPr>
          <w:sz w:val="20"/>
          <w:szCs w:val="20"/>
        </w:rPr>
      </w:pPr>
      <w:r w:rsidRPr="003F553E">
        <w:rPr>
          <w:sz w:val="20"/>
          <w:szCs w:val="20"/>
        </w:rPr>
        <w:t>Phumchusri, N., Ungtrakul, P.: ‘Hotel daily demand forecasting for high-frequency and complex seasonality data: a case study in Thailand’, Journal of Revenue and Pricing Management, 2020, 19, (1), pp. 8-25</w:t>
      </w:r>
    </w:p>
    <w:p w:rsidR="003F553E" w:rsidRDefault="003F553E" w:rsidP="003F553E">
      <w:pPr>
        <w:pStyle w:val="Author"/>
        <w:numPr>
          <w:ilvl w:val="0"/>
          <w:numId w:val="9"/>
        </w:numPr>
        <w:spacing w:before="0" w:line="240" w:lineRule="auto"/>
        <w:jc w:val="both"/>
        <w:rPr>
          <w:sz w:val="20"/>
          <w:szCs w:val="20"/>
        </w:rPr>
      </w:pPr>
      <w:r w:rsidRPr="00FF4644">
        <w:rPr>
          <w:sz w:val="20"/>
          <w:szCs w:val="20"/>
        </w:rPr>
        <w:t>Battegay, M., Kuehl, R., Tschudin-Sutter, S., Hirsch, H.H., Widmer, A.F., Neher, R.A.: ‘2019-novel coronavirus (2019-nCoV): estimating the case fatality rate – a word of caution’, Swiss Medical Weekly, February 2020</w:t>
      </w:r>
    </w:p>
    <w:p w:rsidR="003F553E" w:rsidRDefault="003F553E" w:rsidP="003F553E">
      <w:pPr>
        <w:pStyle w:val="Author"/>
        <w:numPr>
          <w:ilvl w:val="0"/>
          <w:numId w:val="9"/>
        </w:numPr>
        <w:spacing w:before="0" w:line="240" w:lineRule="auto"/>
        <w:jc w:val="both"/>
        <w:rPr>
          <w:sz w:val="20"/>
          <w:szCs w:val="20"/>
        </w:rPr>
      </w:pPr>
      <w:r w:rsidRPr="00FF4644">
        <w:rPr>
          <w:sz w:val="20"/>
          <w:szCs w:val="20"/>
        </w:rPr>
        <w:t xml:space="preserve">Johns Hopkins Center for Health Security, ‘Daily updates on the emerging novel coronavirus from the Johns Hopkins Center for </w:t>
      </w:r>
      <w:r>
        <w:rPr>
          <w:sz w:val="20"/>
          <w:szCs w:val="20"/>
        </w:rPr>
        <w:t>Health Security’, 9th February</w:t>
      </w:r>
      <w:r w:rsidRPr="00FF4644">
        <w:rPr>
          <w:sz w:val="20"/>
          <w:szCs w:val="20"/>
        </w:rPr>
        <w:t xml:space="preserve"> 2020</w:t>
      </w:r>
    </w:p>
    <w:p w:rsidR="003F553E" w:rsidRPr="006E2AE3" w:rsidRDefault="006526CD" w:rsidP="003F553E">
      <w:pPr>
        <w:pStyle w:val="Author"/>
        <w:numPr>
          <w:ilvl w:val="0"/>
          <w:numId w:val="9"/>
        </w:numPr>
        <w:spacing w:before="0" w:line="240" w:lineRule="auto"/>
        <w:jc w:val="both"/>
        <w:rPr>
          <w:sz w:val="20"/>
          <w:szCs w:val="20"/>
        </w:rPr>
      </w:pPr>
      <w:r>
        <w:rPr>
          <w:sz w:val="20"/>
          <w:szCs w:val="20"/>
        </w:rPr>
        <w:t>Fong, S.J., Li, G., Dey, N., Crespo, R.</w:t>
      </w:r>
      <w:r w:rsidR="003F553E" w:rsidRPr="003F553E">
        <w:rPr>
          <w:sz w:val="20"/>
          <w:szCs w:val="20"/>
        </w:rPr>
        <w:t>G., Herrera-Viedma, E.: ‘Finding an Accurate Early Forecasting Model from Small Dataset: A Case of 2019-nCoV Novel Coronavirus Outbreak’, International Journal of Interactive Multimedia and Artificial Intelligence, 2020</w:t>
      </w:r>
    </w:p>
    <w:p w:rsidR="0048010E" w:rsidRDefault="003F553E" w:rsidP="0031518E">
      <w:pPr>
        <w:pStyle w:val="Author"/>
        <w:numPr>
          <w:ilvl w:val="0"/>
          <w:numId w:val="9"/>
        </w:numPr>
        <w:spacing w:before="0" w:line="240" w:lineRule="auto"/>
        <w:jc w:val="both"/>
        <w:rPr>
          <w:sz w:val="20"/>
          <w:szCs w:val="20"/>
        </w:rPr>
      </w:pPr>
      <w:r w:rsidRPr="0031518E">
        <w:rPr>
          <w:sz w:val="20"/>
          <w:szCs w:val="20"/>
        </w:rPr>
        <w:t>Janani, S., Tamilselvi, R.: ’HCR-PSO Feature Selection for Heart Disease Prediction’, International Journal of Scientific Research and Reviews, 2018, 7, (4), pp. 1857-1864</w:t>
      </w:r>
    </w:p>
    <w:sectPr w:rsidR="0048010E" w:rsidSect="000F534A">
      <w:type w:val="continuous"/>
      <w:pgSz w:w="11906" w:h="16838"/>
      <w:pgMar w:top="1134" w:right="851" w:bottom="1134" w:left="851"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3DF" w:rsidRDefault="00DE23DF">
      <w:r>
        <w:separator/>
      </w:r>
    </w:p>
  </w:endnote>
  <w:endnote w:type="continuationSeparator" w:id="1">
    <w:p w:rsidR="00DE23DF" w:rsidRDefault="00DE2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265719"/>
      <w:docPartObj>
        <w:docPartGallery w:val="Page Numbers (Bottom of Page)"/>
        <w:docPartUnique/>
      </w:docPartObj>
    </w:sdtPr>
    <w:sdtEndPr>
      <w:rPr>
        <w:noProof/>
      </w:rPr>
    </w:sdtEndPr>
    <w:sdtContent>
      <w:p w:rsidR="00CC3017" w:rsidRDefault="00E80A5E" w:rsidP="003F7E5D">
        <w:pPr>
          <w:pStyle w:val="Footer"/>
          <w:jc w:val="right"/>
        </w:pPr>
        <w:r>
          <w:fldChar w:fldCharType="begin"/>
        </w:r>
        <w:r w:rsidR="00CC3017">
          <w:instrText xml:space="preserve"> PAGE   \* MERGEFORMAT </w:instrText>
        </w:r>
        <w:r>
          <w:fldChar w:fldCharType="separate"/>
        </w:r>
        <w:r w:rsidR="00DE23DF">
          <w:rPr>
            <w:noProof/>
          </w:rPr>
          <w:t>1</w:t>
        </w:r>
        <w:r>
          <w:rPr>
            <w:noProof/>
          </w:rPr>
          <w:fldChar w:fldCharType="end"/>
        </w:r>
      </w:p>
    </w:sdtContent>
  </w:sdt>
  <w:p w:rsidR="00CC3017" w:rsidRDefault="00CC3017" w:rsidP="00441DB7">
    <w:pPr>
      <w:pStyle w:val="Footer"/>
      <w:tabs>
        <w:tab w:val="clear" w:pos="4513"/>
        <w:tab w:val="left" w:pos="902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111577"/>
      <w:docPartObj>
        <w:docPartGallery w:val="Page Numbers (Bottom of Page)"/>
        <w:docPartUnique/>
      </w:docPartObj>
    </w:sdtPr>
    <w:sdtEndPr>
      <w:rPr>
        <w:noProof/>
        <w:sz w:val="20"/>
      </w:rPr>
    </w:sdtEndPr>
    <w:sdtContent>
      <w:p w:rsidR="00CC3017" w:rsidRPr="00441DB7" w:rsidRDefault="00E80A5E">
        <w:pPr>
          <w:pStyle w:val="Footer"/>
          <w:jc w:val="right"/>
          <w:rPr>
            <w:sz w:val="20"/>
          </w:rPr>
        </w:pPr>
        <w:r w:rsidRPr="00441DB7">
          <w:rPr>
            <w:sz w:val="20"/>
          </w:rPr>
          <w:fldChar w:fldCharType="begin"/>
        </w:r>
        <w:r w:rsidR="00CC3017" w:rsidRPr="00441DB7">
          <w:rPr>
            <w:sz w:val="20"/>
          </w:rPr>
          <w:instrText xml:space="preserve"> PAGE   \* MERGEFORMAT </w:instrText>
        </w:r>
        <w:r w:rsidRPr="00441DB7">
          <w:rPr>
            <w:sz w:val="20"/>
          </w:rPr>
          <w:fldChar w:fldCharType="separate"/>
        </w:r>
        <w:r w:rsidR="006D3A16">
          <w:rPr>
            <w:noProof/>
            <w:sz w:val="20"/>
          </w:rPr>
          <w:t>2</w:t>
        </w:r>
        <w:r w:rsidRPr="00441DB7">
          <w:rPr>
            <w:noProof/>
            <w:sz w:val="20"/>
          </w:rPr>
          <w:fldChar w:fldCharType="end"/>
        </w:r>
      </w:p>
    </w:sdtContent>
  </w:sdt>
  <w:p w:rsidR="00CC3017" w:rsidRDefault="00CC3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3DF" w:rsidRDefault="00DE23DF">
      <w:r>
        <w:separator/>
      </w:r>
    </w:p>
  </w:footnote>
  <w:footnote w:type="continuationSeparator" w:id="1">
    <w:p w:rsidR="00DE23DF" w:rsidRDefault="00DE2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1C86"/>
    <w:multiLevelType w:val="multilevel"/>
    <w:tmpl w:val="CB54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907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241865"/>
    <w:multiLevelType w:val="multilevel"/>
    <w:tmpl w:val="91E6B56C"/>
    <w:lvl w:ilvl="0">
      <w:start w:val="1"/>
      <w:numFmt w:val="upperLetter"/>
      <w:lvlText w:val="%1."/>
      <w:lvlJc w:val="left"/>
      <w:pPr>
        <w:tabs>
          <w:tab w:val="num" w:pos="360"/>
        </w:tabs>
        <w:ind w:left="360" w:hanging="360"/>
      </w:pPr>
      <w:rPr>
        <w:b/>
        <w:sz w:val="20"/>
        <w:szCs w:val="20"/>
      </w:rPr>
    </w:lvl>
    <w:lvl w:ilvl="1">
      <w:start w:val="1"/>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4C37EC1"/>
    <w:multiLevelType w:val="hybridMultilevel"/>
    <w:tmpl w:val="138A18C2"/>
    <w:lvl w:ilvl="0" w:tplc="7BA01820">
      <w:start w:val="1"/>
      <w:numFmt w:val="decimal"/>
      <w:lvlText w:val="Step %1:"/>
      <w:lvlJc w:val="left"/>
      <w:pPr>
        <w:ind w:left="720" w:hanging="360"/>
      </w:pPr>
      <w:rPr>
        <w:rFonts w:hint="default"/>
      </w:rPr>
    </w:lvl>
    <w:lvl w:ilvl="1" w:tplc="FB3AA35C" w:tentative="1">
      <w:start w:val="1"/>
      <w:numFmt w:val="lowerLetter"/>
      <w:lvlText w:val="%2."/>
      <w:lvlJc w:val="left"/>
      <w:pPr>
        <w:ind w:left="1440" w:hanging="360"/>
      </w:pPr>
    </w:lvl>
    <w:lvl w:ilvl="2" w:tplc="7ECA7540" w:tentative="1">
      <w:start w:val="1"/>
      <w:numFmt w:val="lowerRoman"/>
      <w:lvlText w:val="%3."/>
      <w:lvlJc w:val="right"/>
      <w:pPr>
        <w:ind w:left="2160" w:hanging="180"/>
      </w:pPr>
    </w:lvl>
    <w:lvl w:ilvl="3" w:tplc="9A6CAA4E" w:tentative="1">
      <w:start w:val="1"/>
      <w:numFmt w:val="decimal"/>
      <w:lvlText w:val="%4."/>
      <w:lvlJc w:val="left"/>
      <w:pPr>
        <w:ind w:left="2880" w:hanging="360"/>
      </w:pPr>
    </w:lvl>
    <w:lvl w:ilvl="4" w:tplc="19FADDCC" w:tentative="1">
      <w:start w:val="1"/>
      <w:numFmt w:val="lowerLetter"/>
      <w:lvlText w:val="%5."/>
      <w:lvlJc w:val="left"/>
      <w:pPr>
        <w:ind w:left="3600" w:hanging="360"/>
      </w:pPr>
    </w:lvl>
    <w:lvl w:ilvl="5" w:tplc="8BA22C7C" w:tentative="1">
      <w:start w:val="1"/>
      <w:numFmt w:val="lowerRoman"/>
      <w:lvlText w:val="%6."/>
      <w:lvlJc w:val="right"/>
      <w:pPr>
        <w:ind w:left="4320" w:hanging="180"/>
      </w:pPr>
    </w:lvl>
    <w:lvl w:ilvl="6" w:tplc="E7BA86B2" w:tentative="1">
      <w:start w:val="1"/>
      <w:numFmt w:val="decimal"/>
      <w:lvlText w:val="%7."/>
      <w:lvlJc w:val="left"/>
      <w:pPr>
        <w:ind w:left="5040" w:hanging="360"/>
      </w:pPr>
    </w:lvl>
    <w:lvl w:ilvl="7" w:tplc="BCACC922" w:tentative="1">
      <w:start w:val="1"/>
      <w:numFmt w:val="lowerLetter"/>
      <w:lvlText w:val="%8."/>
      <w:lvlJc w:val="left"/>
      <w:pPr>
        <w:ind w:left="5760" w:hanging="360"/>
      </w:pPr>
    </w:lvl>
    <w:lvl w:ilvl="8" w:tplc="D04C6EF0" w:tentative="1">
      <w:start w:val="1"/>
      <w:numFmt w:val="lowerRoman"/>
      <w:lvlText w:val="%9."/>
      <w:lvlJc w:val="right"/>
      <w:pPr>
        <w:ind w:left="6480" w:hanging="180"/>
      </w:pPr>
    </w:lvl>
  </w:abstractNum>
  <w:abstractNum w:abstractNumId="4">
    <w:nsid w:val="2B855861"/>
    <w:multiLevelType w:val="multilevel"/>
    <w:tmpl w:val="802488F2"/>
    <w:lvl w:ilvl="0">
      <w:start w:val="1"/>
      <w:numFmt w:val="decimal"/>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A772DC1"/>
    <w:multiLevelType w:val="hybridMultilevel"/>
    <w:tmpl w:val="F8661D60"/>
    <w:lvl w:ilvl="0" w:tplc="9EF6B82C">
      <w:start w:val="1"/>
      <w:numFmt w:val="decimal"/>
      <w:pStyle w:val="IETHeading2"/>
      <w:lvlText w:val="%1."/>
      <w:lvlJc w:val="left"/>
      <w:pPr>
        <w:ind w:left="720" w:hanging="360"/>
      </w:pPr>
    </w:lvl>
    <w:lvl w:ilvl="1" w:tplc="F252EB1C" w:tentative="1">
      <w:start w:val="1"/>
      <w:numFmt w:val="lowerLetter"/>
      <w:lvlText w:val="%2."/>
      <w:lvlJc w:val="left"/>
      <w:pPr>
        <w:ind w:left="1440" w:hanging="360"/>
      </w:pPr>
    </w:lvl>
    <w:lvl w:ilvl="2" w:tplc="22D838A0" w:tentative="1">
      <w:start w:val="1"/>
      <w:numFmt w:val="lowerRoman"/>
      <w:lvlText w:val="%3."/>
      <w:lvlJc w:val="right"/>
      <w:pPr>
        <w:ind w:left="2160" w:hanging="180"/>
      </w:pPr>
    </w:lvl>
    <w:lvl w:ilvl="3" w:tplc="D93EA888" w:tentative="1">
      <w:start w:val="1"/>
      <w:numFmt w:val="decimal"/>
      <w:lvlText w:val="%4."/>
      <w:lvlJc w:val="left"/>
      <w:pPr>
        <w:ind w:left="2880" w:hanging="360"/>
      </w:pPr>
    </w:lvl>
    <w:lvl w:ilvl="4" w:tplc="DCFA1CB8" w:tentative="1">
      <w:start w:val="1"/>
      <w:numFmt w:val="lowerLetter"/>
      <w:lvlText w:val="%5."/>
      <w:lvlJc w:val="left"/>
      <w:pPr>
        <w:ind w:left="3600" w:hanging="360"/>
      </w:pPr>
    </w:lvl>
    <w:lvl w:ilvl="5" w:tplc="2FC624DC" w:tentative="1">
      <w:start w:val="1"/>
      <w:numFmt w:val="lowerRoman"/>
      <w:lvlText w:val="%6."/>
      <w:lvlJc w:val="right"/>
      <w:pPr>
        <w:ind w:left="4320" w:hanging="180"/>
      </w:pPr>
    </w:lvl>
    <w:lvl w:ilvl="6" w:tplc="7ECAA752" w:tentative="1">
      <w:start w:val="1"/>
      <w:numFmt w:val="decimal"/>
      <w:lvlText w:val="%7."/>
      <w:lvlJc w:val="left"/>
      <w:pPr>
        <w:ind w:left="5040" w:hanging="360"/>
      </w:pPr>
    </w:lvl>
    <w:lvl w:ilvl="7" w:tplc="8D1C0EEE" w:tentative="1">
      <w:start w:val="1"/>
      <w:numFmt w:val="lowerLetter"/>
      <w:lvlText w:val="%8."/>
      <w:lvlJc w:val="left"/>
      <w:pPr>
        <w:ind w:left="5760" w:hanging="360"/>
      </w:pPr>
    </w:lvl>
    <w:lvl w:ilvl="8" w:tplc="17C683A4" w:tentative="1">
      <w:start w:val="1"/>
      <w:numFmt w:val="lowerRoman"/>
      <w:lvlText w:val="%9."/>
      <w:lvlJc w:val="right"/>
      <w:pPr>
        <w:ind w:left="6480" w:hanging="180"/>
      </w:pPr>
    </w:lvl>
  </w:abstractNum>
  <w:abstractNum w:abstractNumId="6">
    <w:nsid w:val="573978CE"/>
    <w:multiLevelType w:val="multilevel"/>
    <w:tmpl w:val="9058F67A"/>
    <w:lvl w:ilvl="0">
      <w:start w:val="1"/>
      <w:numFmt w:val="lowerLetter"/>
      <w:lvlText w:val="%1."/>
      <w:lvlJc w:val="left"/>
      <w:pPr>
        <w:tabs>
          <w:tab w:val="num" w:pos="360"/>
        </w:tabs>
        <w:ind w:left="360" w:hanging="360"/>
      </w:pPr>
      <w:rPr>
        <w:sz w:val="18"/>
        <w:szCs w:val="18"/>
      </w:rPr>
    </w:lvl>
    <w:lvl w:ilvl="1">
      <w:start w:val="1"/>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D2A6D31"/>
    <w:multiLevelType w:val="multilevel"/>
    <w:tmpl w:val="9DB238EC"/>
    <w:lvl w:ilvl="0">
      <w:start w:val="1"/>
      <w:numFmt w:val="decimal"/>
      <w:lvlText w:val="%1)"/>
      <w:lvlJc w:val="left"/>
      <w:pPr>
        <w:tabs>
          <w:tab w:val="num" w:pos="360"/>
        </w:tabs>
        <w:ind w:left="360" w:hanging="360"/>
      </w:pPr>
      <w:rPr>
        <w:color w:val="auto"/>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5E24AB3"/>
    <w:multiLevelType w:val="hybridMultilevel"/>
    <w:tmpl w:val="2E7490C0"/>
    <w:lvl w:ilvl="0" w:tplc="CE3A3B0E">
      <w:start w:val="1"/>
      <w:numFmt w:val="lowerLetter"/>
      <w:lvlText w:val="%1."/>
      <w:lvlJc w:val="left"/>
      <w:pPr>
        <w:ind w:left="720" w:hanging="360"/>
      </w:pPr>
      <w:rPr>
        <w:rFonts w:hint="default"/>
        <w:b w:val="0"/>
      </w:rPr>
    </w:lvl>
    <w:lvl w:ilvl="1" w:tplc="09266D44" w:tentative="1">
      <w:start w:val="1"/>
      <w:numFmt w:val="bullet"/>
      <w:lvlText w:val="o"/>
      <w:lvlJc w:val="left"/>
      <w:pPr>
        <w:ind w:left="1440" w:hanging="360"/>
      </w:pPr>
      <w:rPr>
        <w:rFonts w:ascii="Courier New" w:hAnsi="Courier New" w:cs="Courier New" w:hint="default"/>
      </w:rPr>
    </w:lvl>
    <w:lvl w:ilvl="2" w:tplc="5EEC214C" w:tentative="1">
      <w:start w:val="1"/>
      <w:numFmt w:val="bullet"/>
      <w:lvlText w:val=""/>
      <w:lvlJc w:val="left"/>
      <w:pPr>
        <w:ind w:left="2160" w:hanging="360"/>
      </w:pPr>
      <w:rPr>
        <w:rFonts w:ascii="Wingdings" w:hAnsi="Wingdings" w:hint="default"/>
      </w:rPr>
    </w:lvl>
    <w:lvl w:ilvl="3" w:tplc="E6AC1736" w:tentative="1">
      <w:start w:val="1"/>
      <w:numFmt w:val="bullet"/>
      <w:lvlText w:val=""/>
      <w:lvlJc w:val="left"/>
      <w:pPr>
        <w:ind w:left="2880" w:hanging="360"/>
      </w:pPr>
      <w:rPr>
        <w:rFonts w:ascii="Symbol" w:hAnsi="Symbol" w:hint="default"/>
      </w:rPr>
    </w:lvl>
    <w:lvl w:ilvl="4" w:tplc="C66EF890" w:tentative="1">
      <w:start w:val="1"/>
      <w:numFmt w:val="bullet"/>
      <w:lvlText w:val="o"/>
      <w:lvlJc w:val="left"/>
      <w:pPr>
        <w:ind w:left="3600" w:hanging="360"/>
      </w:pPr>
      <w:rPr>
        <w:rFonts w:ascii="Courier New" w:hAnsi="Courier New" w:cs="Courier New" w:hint="default"/>
      </w:rPr>
    </w:lvl>
    <w:lvl w:ilvl="5" w:tplc="7512BF14" w:tentative="1">
      <w:start w:val="1"/>
      <w:numFmt w:val="bullet"/>
      <w:lvlText w:val=""/>
      <w:lvlJc w:val="left"/>
      <w:pPr>
        <w:ind w:left="4320" w:hanging="360"/>
      </w:pPr>
      <w:rPr>
        <w:rFonts w:ascii="Wingdings" w:hAnsi="Wingdings" w:hint="default"/>
      </w:rPr>
    </w:lvl>
    <w:lvl w:ilvl="6" w:tplc="FCA2723E" w:tentative="1">
      <w:start w:val="1"/>
      <w:numFmt w:val="bullet"/>
      <w:lvlText w:val=""/>
      <w:lvlJc w:val="left"/>
      <w:pPr>
        <w:ind w:left="5040" w:hanging="360"/>
      </w:pPr>
      <w:rPr>
        <w:rFonts w:ascii="Symbol" w:hAnsi="Symbol" w:hint="default"/>
      </w:rPr>
    </w:lvl>
    <w:lvl w:ilvl="7" w:tplc="3326BB10" w:tentative="1">
      <w:start w:val="1"/>
      <w:numFmt w:val="bullet"/>
      <w:lvlText w:val="o"/>
      <w:lvlJc w:val="left"/>
      <w:pPr>
        <w:ind w:left="5760" w:hanging="360"/>
      </w:pPr>
      <w:rPr>
        <w:rFonts w:ascii="Courier New" w:hAnsi="Courier New" w:cs="Courier New" w:hint="default"/>
      </w:rPr>
    </w:lvl>
    <w:lvl w:ilvl="8" w:tplc="E9A89660" w:tentative="1">
      <w:start w:val="1"/>
      <w:numFmt w:val="bullet"/>
      <w:lvlText w:val=""/>
      <w:lvlJc w:val="left"/>
      <w:pPr>
        <w:ind w:left="6480" w:hanging="360"/>
      </w:pPr>
      <w:rPr>
        <w:rFonts w:ascii="Wingdings" w:hAnsi="Wingdings" w:hint="default"/>
      </w:rPr>
    </w:lvl>
  </w:abstractNum>
  <w:abstractNum w:abstractNumId="9">
    <w:nsid w:val="75615FA2"/>
    <w:multiLevelType w:val="multilevel"/>
    <w:tmpl w:val="26C4B4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E6C4565"/>
    <w:multiLevelType w:val="multilevel"/>
    <w:tmpl w:val="EBE0B3C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D73CCA"/>
    <w:multiLevelType w:val="hybridMultilevel"/>
    <w:tmpl w:val="A4E6BAE0"/>
    <w:lvl w:ilvl="0" w:tplc="6FAEF7F4">
      <w:start w:val="1"/>
      <w:numFmt w:val="decimal"/>
      <w:pStyle w:val="IETHeading1"/>
      <w:lvlText w:val="%1."/>
      <w:lvlJc w:val="left"/>
      <w:pPr>
        <w:ind w:left="720" w:hanging="360"/>
      </w:pPr>
    </w:lvl>
    <w:lvl w:ilvl="1" w:tplc="E3D053EA" w:tentative="1">
      <w:start w:val="1"/>
      <w:numFmt w:val="lowerLetter"/>
      <w:lvlText w:val="%2."/>
      <w:lvlJc w:val="left"/>
      <w:pPr>
        <w:ind w:left="1440" w:hanging="360"/>
      </w:pPr>
    </w:lvl>
    <w:lvl w:ilvl="2" w:tplc="A19C5902" w:tentative="1">
      <w:start w:val="1"/>
      <w:numFmt w:val="lowerRoman"/>
      <w:lvlText w:val="%3."/>
      <w:lvlJc w:val="right"/>
      <w:pPr>
        <w:ind w:left="2160" w:hanging="180"/>
      </w:pPr>
    </w:lvl>
    <w:lvl w:ilvl="3" w:tplc="0194FC8E" w:tentative="1">
      <w:start w:val="1"/>
      <w:numFmt w:val="decimal"/>
      <w:lvlText w:val="%4."/>
      <w:lvlJc w:val="left"/>
      <w:pPr>
        <w:ind w:left="2880" w:hanging="360"/>
      </w:pPr>
    </w:lvl>
    <w:lvl w:ilvl="4" w:tplc="80AE12B8" w:tentative="1">
      <w:start w:val="1"/>
      <w:numFmt w:val="lowerLetter"/>
      <w:lvlText w:val="%5."/>
      <w:lvlJc w:val="left"/>
      <w:pPr>
        <w:ind w:left="3600" w:hanging="360"/>
      </w:pPr>
    </w:lvl>
    <w:lvl w:ilvl="5" w:tplc="5C467BAA" w:tentative="1">
      <w:start w:val="1"/>
      <w:numFmt w:val="lowerRoman"/>
      <w:lvlText w:val="%6."/>
      <w:lvlJc w:val="right"/>
      <w:pPr>
        <w:ind w:left="4320" w:hanging="180"/>
      </w:pPr>
    </w:lvl>
    <w:lvl w:ilvl="6" w:tplc="8B1C3082" w:tentative="1">
      <w:start w:val="1"/>
      <w:numFmt w:val="decimal"/>
      <w:lvlText w:val="%7."/>
      <w:lvlJc w:val="left"/>
      <w:pPr>
        <w:ind w:left="5040" w:hanging="360"/>
      </w:pPr>
    </w:lvl>
    <w:lvl w:ilvl="7" w:tplc="4BBE355C" w:tentative="1">
      <w:start w:val="1"/>
      <w:numFmt w:val="lowerLetter"/>
      <w:lvlText w:val="%8."/>
      <w:lvlJc w:val="left"/>
      <w:pPr>
        <w:ind w:left="5760" w:hanging="360"/>
      </w:pPr>
    </w:lvl>
    <w:lvl w:ilvl="8" w:tplc="89EC98FE"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5"/>
  </w:num>
  <w:num w:numId="5">
    <w:abstractNumId w:val="6"/>
  </w:num>
  <w:num w:numId="6">
    <w:abstractNumId w:val="2"/>
  </w:num>
  <w:num w:numId="7">
    <w:abstractNumId w:val="8"/>
  </w:num>
  <w:num w:numId="8">
    <w:abstractNumId w:val="7"/>
  </w:num>
  <w:num w:numId="9">
    <w:abstractNumId w:val="9"/>
  </w:num>
  <w:num w:numId="10">
    <w:abstractNumId w:val="3"/>
  </w:num>
  <w:num w:numId="11">
    <w:abstractNumId w:val="10"/>
  </w:num>
  <w:num w:numId="12">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cumentProtection w:formatting="1" w:enforcement="0"/>
  <w:defaultTabStop w:val="720"/>
  <w:noPunctuationKerning/>
  <w:characterSpacingControl w:val="doNotCompress"/>
  <w:savePreviewPicture/>
  <w:footnotePr>
    <w:footnote w:id="0"/>
    <w:footnote w:id="1"/>
  </w:footnotePr>
  <w:endnotePr>
    <w:endnote w:id="0"/>
    <w:endnote w:id="1"/>
  </w:endnotePr>
  <w:compat>
    <w:applyBreakingRules/>
    <w:useFELayout/>
  </w:compat>
  <w:rsids>
    <w:rsidRoot w:val="006E1800"/>
    <w:rsid w:val="000002E1"/>
    <w:rsid w:val="00000B12"/>
    <w:rsid w:val="0000141F"/>
    <w:rsid w:val="000029F2"/>
    <w:rsid w:val="00004800"/>
    <w:rsid w:val="000059CC"/>
    <w:rsid w:val="0000756F"/>
    <w:rsid w:val="00007844"/>
    <w:rsid w:val="00014478"/>
    <w:rsid w:val="00014511"/>
    <w:rsid w:val="00014653"/>
    <w:rsid w:val="00017719"/>
    <w:rsid w:val="000215A2"/>
    <w:rsid w:val="000251D4"/>
    <w:rsid w:val="00027F1D"/>
    <w:rsid w:val="00030FDE"/>
    <w:rsid w:val="00031298"/>
    <w:rsid w:val="0003296C"/>
    <w:rsid w:val="00032D0A"/>
    <w:rsid w:val="00036453"/>
    <w:rsid w:val="00040740"/>
    <w:rsid w:val="0004165E"/>
    <w:rsid w:val="000421BF"/>
    <w:rsid w:val="00043F7D"/>
    <w:rsid w:val="00045034"/>
    <w:rsid w:val="00047336"/>
    <w:rsid w:val="000474FB"/>
    <w:rsid w:val="000475FE"/>
    <w:rsid w:val="00051BE6"/>
    <w:rsid w:val="00053D0D"/>
    <w:rsid w:val="00054421"/>
    <w:rsid w:val="00054F1C"/>
    <w:rsid w:val="000569C6"/>
    <w:rsid w:val="00061854"/>
    <w:rsid w:val="0006228E"/>
    <w:rsid w:val="00062E46"/>
    <w:rsid w:val="00064F7F"/>
    <w:rsid w:val="0006663F"/>
    <w:rsid w:val="000710F7"/>
    <w:rsid w:val="00074AC8"/>
    <w:rsid w:val="00076EB5"/>
    <w:rsid w:val="00077A15"/>
    <w:rsid w:val="00081408"/>
    <w:rsid w:val="00081733"/>
    <w:rsid w:val="00081EBE"/>
    <w:rsid w:val="00082EC9"/>
    <w:rsid w:val="00086EDC"/>
    <w:rsid w:val="000911C3"/>
    <w:rsid w:val="00096DEB"/>
    <w:rsid w:val="00097E5C"/>
    <w:rsid w:val="000B043A"/>
    <w:rsid w:val="000B132F"/>
    <w:rsid w:val="000B27BD"/>
    <w:rsid w:val="000B36A3"/>
    <w:rsid w:val="000B58D0"/>
    <w:rsid w:val="000B5B65"/>
    <w:rsid w:val="000C013C"/>
    <w:rsid w:val="000C15E4"/>
    <w:rsid w:val="000C3D1B"/>
    <w:rsid w:val="000C505B"/>
    <w:rsid w:val="000C5C26"/>
    <w:rsid w:val="000C7AEE"/>
    <w:rsid w:val="000D2CFE"/>
    <w:rsid w:val="000D4276"/>
    <w:rsid w:val="000D5B70"/>
    <w:rsid w:val="000E315C"/>
    <w:rsid w:val="000E323B"/>
    <w:rsid w:val="000E3F84"/>
    <w:rsid w:val="000E53EF"/>
    <w:rsid w:val="000F1031"/>
    <w:rsid w:val="000F23F8"/>
    <w:rsid w:val="000F4577"/>
    <w:rsid w:val="000F534A"/>
    <w:rsid w:val="000F5E83"/>
    <w:rsid w:val="00100A75"/>
    <w:rsid w:val="001016A1"/>
    <w:rsid w:val="001020F6"/>
    <w:rsid w:val="00103CB4"/>
    <w:rsid w:val="0010430B"/>
    <w:rsid w:val="001049FA"/>
    <w:rsid w:val="001056DF"/>
    <w:rsid w:val="001136E1"/>
    <w:rsid w:val="00114025"/>
    <w:rsid w:val="00116002"/>
    <w:rsid w:val="001160D2"/>
    <w:rsid w:val="001305D1"/>
    <w:rsid w:val="001348A5"/>
    <w:rsid w:val="00140D6B"/>
    <w:rsid w:val="00141C83"/>
    <w:rsid w:val="00144046"/>
    <w:rsid w:val="00151B8E"/>
    <w:rsid w:val="001520A9"/>
    <w:rsid w:val="00154E32"/>
    <w:rsid w:val="00156A7D"/>
    <w:rsid w:val="001573E8"/>
    <w:rsid w:val="0017093D"/>
    <w:rsid w:val="001753CB"/>
    <w:rsid w:val="0017723E"/>
    <w:rsid w:val="00184693"/>
    <w:rsid w:val="00184F02"/>
    <w:rsid w:val="0019030F"/>
    <w:rsid w:val="001928FB"/>
    <w:rsid w:val="00192A6D"/>
    <w:rsid w:val="00192BC7"/>
    <w:rsid w:val="001A08B4"/>
    <w:rsid w:val="001A1759"/>
    <w:rsid w:val="001A34F3"/>
    <w:rsid w:val="001A50EA"/>
    <w:rsid w:val="001A64C2"/>
    <w:rsid w:val="001B4E92"/>
    <w:rsid w:val="001B765C"/>
    <w:rsid w:val="001C2FCF"/>
    <w:rsid w:val="001D2335"/>
    <w:rsid w:val="001D2BDF"/>
    <w:rsid w:val="001D7603"/>
    <w:rsid w:val="001E01C0"/>
    <w:rsid w:val="001E46EB"/>
    <w:rsid w:val="001E598C"/>
    <w:rsid w:val="001F080B"/>
    <w:rsid w:val="001F16CD"/>
    <w:rsid w:val="001F3038"/>
    <w:rsid w:val="001F47D2"/>
    <w:rsid w:val="001F68F3"/>
    <w:rsid w:val="00201804"/>
    <w:rsid w:val="00202157"/>
    <w:rsid w:val="0020294B"/>
    <w:rsid w:val="00204E0C"/>
    <w:rsid w:val="002152D1"/>
    <w:rsid w:val="00215E1B"/>
    <w:rsid w:val="00217689"/>
    <w:rsid w:val="00217938"/>
    <w:rsid w:val="0022285A"/>
    <w:rsid w:val="00224143"/>
    <w:rsid w:val="00224C61"/>
    <w:rsid w:val="00226C02"/>
    <w:rsid w:val="00237519"/>
    <w:rsid w:val="00237698"/>
    <w:rsid w:val="00240BCB"/>
    <w:rsid w:val="0024334B"/>
    <w:rsid w:val="0024384F"/>
    <w:rsid w:val="002506A7"/>
    <w:rsid w:val="00250DA3"/>
    <w:rsid w:val="00251F4D"/>
    <w:rsid w:val="00255C1F"/>
    <w:rsid w:val="002601A3"/>
    <w:rsid w:val="002643C3"/>
    <w:rsid w:val="002657CC"/>
    <w:rsid w:val="002660F8"/>
    <w:rsid w:val="00271C63"/>
    <w:rsid w:val="0027227B"/>
    <w:rsid w:val="00273AC7"/>
    <w:rsid w:val="00273BF8"/>
    <w:rsid w:val="00273D2C"/>
    <w:rsid w:val="00276415"/>
    <w:rsid w:val="00285991"/>
    <w:rsid w:val="00285ECD"/>
    <w:rsid w:val="00290E1B"/>
    <w:rsid w:val="00291B17"/>
    <w:rsid w:val="00293261"/>
    <w:rsid w:val="00295709"/>
    <w:rsid w:val="002A5141"/>
    <w:rsid w:val="002A5BF6"/>
    <w:rsid w:val="002A631B"/>
    <w:rsid w:val="002A64D2"/>
    <w:rsid w:val="002A6742"/>
    <w:rsid w:val="002B1B17"/>
    <w:rsid w:val="002B2212"/>
    <w:rsid w:val="002B317F"/>
    <w:rsid w:val="002B39A8"/>
    <w:rsid w:val="002B68F6"/>
    <w:rsid w:val="002B7663"/>
    <w:rsid w:val="002C01BC"/>
    <w:rsid w:val="002C0BED"/>
    <w:rsid w:val="002C1455"/>
    <w:rsid w:val="002C1A7F"/>
    <w:rsid w:val="002C210C"/>
    <w:rsid w:val="002C2746"/>
    <w:rsid w:val="002C3B79"/>
    <w:rsid w:val="002C4239"/>
    <w:rsid w:val="002C523F"/>
    <w:rsid w:val="002C559D"/>
    <w:rsid w:val="002C6720"/>
    <w:rsid w:val="002D1826"/>
    <w:rsid w:val="002D2A7B"/>
    <w:rsid w:val="002D2D42"/>
    <w:rsid w:val="002D56AE"/>
    <w:rsid w:val="002D74C7"/>
    <w:rsid w:val="002E0793"/>
    <w:rsid w:val="002E083D"/>
    <w:rsid w:val="002E38C4"/>
    <w:rsid w:val="002E7F46"/>
    <w:rsid w:val="002F54CA"/>
    <w:rsid w:val="002F5ACC"/>
    <w:rsid w:val="002F72D0"/>
    <w:rsid w:val="002F7309"/>
    <w:rsid w:val="002F7DB5"/>
    <w:rsid w:val="003003AB"/>
    <w:rsid w:val="003010AD"/>
    <w:rsid w:val="003025DC"/>
    <w:rsid w:val="00307AA3"/>
    <w:rsid w:val="00307B1E"/>
    <w:rsid w:val="003104F5"/>
    <w:rsid w:val="00311C49"/>
    <w:rsid w:val="0031381D"/>
    <w:rsid w:val="0031518E"/>
    <w:rsid w:val="00316F83"/>
    <w:rsid w:val="0032119E"/>
    <w:rsid w:val="00321304"/>
    <w:rsid w:val="003243CD"/>
    <w:rsid w:val="0033184D"/>
    <w:rsid w:val="00331F84"/>
    <w:rsid w:val="00335C4F"/>
    <w:rsid w:val="003369D6"/>
    <w:rsid w:val="00343079"/>
    <w:rsid w:val="00345BD9"/>
    <w:rsid w:val="003504BC"/>
    <w:rsid w:val="00354986"/>
    <w:rsid w:val="00362EBF"/>
    <w:rsid w:val="003639BF"/>
    <w:rsid w:val="00364A27"/>
    <w:rsid w:val="00364AFD"/>
    <w:rsid w:val="0037157F"/>
    <w:rsid w:val="00372F48"/>
    <w:rsid w:val="00376AD4"/>
    <w:rsid w:val="00381202"/>
    <w:rsid w:val="00386909"/>
    <w:rsid w:val="0038726D"/>
    <w:rsid w:val="00387F4D"/>
    <w:rsid w:val="0039001E"/>
    <w:rsid w:val="003950A4"/>
    <w:rsid w:val="003A06B9"/>
    <w:rsid w:val="003A17A5"/>
    <w:rsid w:val="003A2ACA"/>
    <w:rsid w:val="003B5D68"/>
    <w:rsid w:val="003C4570"/>
    <w:rsid w:val="003C7F4D"/>
    <w:rsid w:val="003D35F6"/>
    <w:rsid w:val="003D5DE1"/>
    <w:rsid w:val="003E0443"/>
    <w:rsid w:val="003E12B3"/>
    <w:rsid w:val="003E1FA3"/>
    <w:rsid w:val="003E3577"/>
    <w:rsid w:val="003F0956"/>
    <w:rsid w:val="003F17AF"/>
    <w:rsid w:val="003F3A61"/>
    <w:rsid w:val="003F553E"/>
    <w:rsid w:val="003F71AD"/>
    <w:rsid w:val="003F7E5D"/>
    <w:rsid w:val="00404B4D"/>
    <w:rsid w:val="0040616D"/>
    <w:rsid w:val="00410A5D"/>
    <w:rsid w:val="00410E19"/>
    <w:rsid w:val="004122B4"/>
    <w:rsid w:val="00412880"/>
    <w:rsid w:val="00412BC7"/>
    <w:rsid w:val="0041402C"/>
    <w:rsid w:val="00414909"/>
    <w:rsid w:val="004212AD"/>
    <w:rsid w:val="00424E45"/>
    <w:rsid w:val="00425A6A"/>
    <w:rsid w:val="004267D5"/>
    <w:rsid w:val="00426FBB"/>
    <w:rsid w:val="00427832"/>
    <w:rsid w:val="004322D7"/>
    <w:rsid w:val="0043283B"/>
    <w:rsid w:val="00440C94"/>
    <w:rsid w:val="00441A26"/>
    <w:rsid w:val="00441DB7"/>
    <w:rsid w:val="00442779"/>
    <w:rsid w:val="00447812"/>
    <w:rsid w:val="00456A25"/>
    <w:rsid w:val="00457F30"/>
    <w:rsid w:val="004619BD"/>
    <w:rsid w:val="00465AEB"/>
    <w:rsid w:val="00467EB3"/>
    <w:rsid w:val="004737B4"/>
    <w:rsid w:val="0047429A"/>
    <w:rsid w:val="0048010E"/>
    <w:rsid w:val="0048374C"/>
    <w:rsid w:val="00483760"/>
    <w:rsid w:val="00486B02"/>
    <w:rsid w:val="0048771D"/>
    <w:rsid w:val="004A053E"/>
    <w:rsid w:val="004A096A"/>
    <w:rsid w:val="004A3522"/>
    <w:rsid w:val="004A6605"/>
    <w:rsid w:val="004A6642"/>
    <w:rsid w:val="004A7494"/>
    <w:rsid w:val="004B0903"/>
    <w:rsid w:val="004B090D"/>
    <w:rsid w:val="004B1FC0"/>
    <w:rsid w:val="004B2A50"/>
    <w:rsid w:val="004B62C0"/>
    <w:rsid w:val="004B682B"/>
    <w:rsid w:val="004C130F"/>
    <w:rsid w:val="004C1B6D"/>
    <w:rsid w:val="004C24F8"/>
    <w:rsid w:val="004C2868"/>
    <w:rsid w:val="004C45FA"/>
    <w:rsid w:val="004C5E38"/>
    <w:rsid w:val="004C7E34"/>
    <w:rsid w:val="004D21B3"/>
    <w:rsid w:val="004D564C"/>
    <w:rsid w:val="004D6342"/>
    <w:rsid w:val="004D6FD7"/>
    <w:rsid w:val="004D737D"/>
    <w:rsid w:val="004E1BD8"/>
    <w:rsid w:val="004E2C41"/>
    <w:rsid w:val="004E3D20"/>
    <w:rsid w:val="004E452A"/>
    <w:rsid w:val="004E75A9"/>
    <w:rsid w:val="004E78E3"/>
    <w:rsid w:val="004F5512"/>
    <w:rsid w:val="00500123"/>
    <w:rsid w:val="005004BF"/>
    <w:rsid w:val="00500860"/>
    <w:rsid w:val="00502E89"/>
    <w:rsid w:val="00505B38"/>
    <w:rsid w:val="00510E95"/>
    <w:rsid w:val="00511DBE"/>
    <w:rsid w:val="00512B38"/>
    <w:rsid w:val="00513751"/>
    <w:rsid w:val="00516DD2"/>
    <w:rsid w:val="00516E53"/>
    <w:rsid w:val="00517269"/>
    <w:rsid w:val="0052014B"/>
    <w:rsid w:val="00523D4B"/>
    <w:rsid w:val="00525DE1"/>
    <w:rsid w:val="00527D56"/>
    <w:rsid w:val="00530318"/>
    <w:rsid w:val="00531165"/>
    <w:rsid w:val="0053214B"/>
    <w:rsid w:val="0053221F"/>
    <w:rsid w:val="00532A4C"/>
    <w:rsid w:val="0053555B"/>
    <w:rsid w:val="00536FAE"/>
    <w:rsid w:val="0054053B"/>
    <w:rsid w:val="00540694"/>
    <w:rsid w:val="00542C85"/>
    <w:rsid w:val="00543C38"/>
    <w:rsid w:val="00551C8C"/>
    <w:rsid w:val="00551F8C"/>
    <w:rsid w:val="005522E0"/>
    <w:rsid w:val="00553510"/>
    <w:rsid w:val="00554186"/>
    <w:rsid w:val="0055433B"/>
    <w:rsid w:val="0055797E"/>
    <w:rsid w:val="00562E55"/>
    <w:rsid w:val="00564560"/>
    <w:rsid w:val="00566558"/>
    <w:rsid w:val="00573181"/>
    <w:rsid w:val="00575F35"/>
    <w:rsid w:val="00585769"/>
    <w:rsid w:val="00590EAE"/>
    <w:rsid w:val="00591130"/>
    <w:rsid w:val="00591627"/>
    <w:rsid w:val="005953D7"/>
    <w:rsid w:val="00596290"/>
    <w:rsid w:val="005A0D42"/>
    <w:rsid w:val="005A2125"/>
    <w:rsid w:val="005A3F28"/>
    <w:rsid w:val="005A40BE"/>
    <w:rsid w:val="005A624D"/>
    <w:rsid w:val="005B0E79"/>
    <w:rsid w:val="005B13E2"/>
    <w:rsid w:val="005B47D7"/>
    <w:rsid w:val="005B6A10"/>
    <w:rsid w:val="005B7A07"/>
    <w:rsid w:val="005C2CD8"/>
    <w:rsid w:val="005C2D81"/>
    <w:rsid w:val="005C40BE"/>
    <w:rsid w:val="005C4B4E"/>
    <w:rsid w:val="005C4F92"/>
    <w:rsid w:val="005C5526"/>
    <w:rsid w:val="005C62C6"/>
    <w:rsid w:val="005C79D2"/>
    <w:rsid w:val="005D2E5A"/>
    <w:rsid w:val="005D3BCF"/>
    <w:rsid w:val="005D4D1A"/>
    <w:rsid w:val="005D7B9E"/>
    <w:rsid w:val="005E68CB"/>
    <w:rsid w:val="005F0834"/>
    <w:rsid w:val="005F283D"/>
    <w:rsid w:val="005F6DC3"/>
    <w:rsid w:val="005F7D63"/>
    <w:rsid w:val="006004C6"/>
    <w:rsid w:val="00601A8E"/>
    <w:rsid w:val="0060273A"/>
    <w:rsid w:val="00604D53"/>
    <w:rsid w:val="006067BA"/>
    <w:rsid w:val="00606CF6"/>
    <w:rsid w:val="00611203"/>
    <w:rsid w:val="0061223B"/>
    <w:rsid w:val="00613191"/>
    <w:rsid w:val="0062033E"/>
    <w:rsid w:val="00624482"/>
    <w:rsid w:val="006322DE"/>
    <w:rsid w:val="006334ED"/>
    <w:rsid w:val="006336D4"/>
    <w:rsid w:val="00634F84"/>
    <w:rsid w:val="00635D61"/>
    <w:rsid w:val="0064799C"/>
    <w:rsid w:val="006504E6"/>
    <w:rsid w:val="0065120C"/>
    <w:rsid w:val="006526CD"/>
    <w:rsid w:val="00654156"/>
    <w:rsid w:val="006573E5"/>
    <w:rsid w:val="0066346B"/>
    <w:rsid w:val="00665F8F"/>
    <w:rsid w:val="00666AF4"/>
    <w:rsid w:val="00667515"/>
    <w:rsid w:val="0068090A"/>
    <w:rsid w:val="00681E10"/>
    <w:rsid w:val="00683D7E"/>
    <w:rsid w:val="00684475"/>
    <w:rsid w:val="00684F33"/>
    <w:rsid w:val="00692DFA"/>
    <w:rsid w:val="006950BE"/>
    <w:rsid w:val="00696CEE"/>
    <w:rsid w:val="006A551B"/>
    <w:rsid w:val="006A5639"/>
    <w:rsid w:val="006A66AA"/>
    <w:rsid w:val="006A7A62"/>
    <w:rsid w:val="006B47CA"/>
    <w:rsid w:val="006B704C"/>
    <w:rsid w:val="006C08B5"/>
    <w:rsid w:val="006C2552"/>
    <w:rsid w:val="006C449C"/>
    <w:rsid w:val="006C50F1"/>
    <w:rsid w:val="006C61B4"/>
    <w:rsid w:val="006C7282"/>
    <w:rsid w:val="006C7AAA"/>
    <w:rsid w:val="006D0E82"/>
    <w:rsid w:val="006D1BAC"/>
    <w:rsid w:val="006D1C2A"/>
    <w:rsid w:val="006D264F"/>
    <w:rsid w:val="006D3A16"/>
    <w:rsid w:val="006D510A"/>
    <w:rsid w:val="006D6B01"/>
    <w:rsid w:val="006D7C1F"/>
    <w:rsid w:val="006E1800"/>
    <w:rsid w:val="006E1D43"/>
    <w:rsid w:val="006E2A8D"/>
    <w:rsid w:val="006E5730"/>
    <w:rsid w:val="006E7574"/>
    <w:rsid w:val="006F145C"/>
    <w:rsid w:val="006F4EFC"/>
    <w:rsid w:val="00703430"/>
    <w:rsid w:val="00703CB6"/>
    <w:rsid w:val="00704EFC"/>
    <w:rsid w:val="00705E42"/>
    <w:rsid w:val="007069BE"/>
    <w:rsid w:val="00710E0F"/>
    <w:rsid w:val="00711ABE"/>
    <w:rsid w:val="00711B73"/>
    <w:rsid w:val="007131B3"/>
    <w:rsid w:val="00715377"/>
    <w:rsid w:val="0071790D"/>
    <w:rsid w:val="00720B9A"/>
    <w:rsid w:val="0072205F"/>
    <w:rsid w:val="0072384A"/>
    <w:rsid w:val="0072586E"/>
    <w:rsid w:val="00730A8D"/>
    <w:rsid w:val="00730DCC"/>
    <w:rsid w:val="00731E66"/>
    <w:rsid w:val="00732796"/>
    <w:rsid w:val="00735FB0"/>
    <w:rsid w:val="007414CD"/>
    <w:rsid w:val="00745C73"/>
    <w:rsid w:val="00745C86"/>
    <w:rsid w:val="00754627"/>
    <w:rsid w:val="00761E7D"/>
    <w:rsid w:val="0076385F"/>
    <w:rsid w:val="00764603"/>
    <w:rsid w:val="00765A1B"/>
    <w:rsid w:val="0076604D"/>
    <w:rsid w:val="0077469F"/>
    <w:rsid w:val="0077624A"/>
    <w:rsid w:val="007764C2"/>
    <w:rsid w:val="00777F0A"/>
    <w:rsid w:val="00782B8E"/>
    <w:rsid w:val="00790909"/>
    <w:rsid w:val="00794755"/>
    <w:rsid w:val="007A594F"/>
    <w:rsid w:val="007B4E27"/>
    <w:rsid w:val="007B5A07"/>
    <w:rsid w:val="007C0625"/>
    <w:rsid w:val="007C22EE"/>
    <w:rsid w:val="007C3557"/>
    <w:rsid w:val="007C4DD0"/>
    <w:rsid w:val="007C63CF"/>
    <w:rsid w:val="007D3ABB"/>
    <w:rsid w:val="007D3E71"/>
    <w:rsid w:val="007D5801"/>
    <w:rsid w:val="007D7871"/>
    <w:rsid w:val="007E22C3"/>
    <w:rsid w:val="007E5142"/>
    <w:rsid w:val="007E5571"/>
    <w:rsid w:val="007E5D6A"/>
    <w:rsid w:val="007E645D"/>
    <w:rsid w:val="007E6B6E"/>
    <w:rsid w:val="007F06B0"/>
    <w:rsid w:val="007F0CE9"/>
    <w:rsid w:val="007F0DA2"/>
    <w:rsid w:val="007F117A"/>
    <w:rsid w:val="007F4CB4"/>
    <w:rsid w:val="007F75CA"/>
    <w:rsid w:val="0080281D"/>
    <w:rsid w:val="008038B4"/>
    <w:rsid w:val="0081578C"/>
    <w:rsid w:val="00817A21"/>
    <w:rsid w:val="00817AE0"/>
    <w:rsid w:val="00821E08"/>
    <w:rsid w:val="008229B5"/>
    <w:rsid w:val="00822F73"/>
    <w:rsid w:val="008259BB"/>
    <w:rsid w:val="00831F09"/>
    <w:rsid w:val="00832179"/>
    <w:rsid w:val="00834EFD"/>
    <w:rsid w:val="00841105"/>
    <w:rsid w:val="0084199D"/>
    <w:rsid w:val="008424FF"/>
    <w:rsid w:val="00842B85"/>
    <w:rsid w:val="00843872"/>
    <w:rsid w:val="00843C58"/>
    <w:rsid w:val="00844B24"/>
    <w:rsid w:val="0084515F"/>
    <w:rsid w:val="008471F3"/>
    <w:rsid w:val="0085092D"/>
    <w:rsid w:val="00850A42"/>
    <w:rsid w:val="00854A01"/>
    <w:rsid w:val="0085575B"/>
    <w:rsid w:val="00860A77"/>
    <w:rsid w:val="008631C9"/>
    <w:rsid w:val="008651AC"/>
    <w:rsid w:val="00865474"/>
    <w:rsid w:val="008753FD"/>
    <w:rsid w:val="00877D4C"/>
    <w:rsid w:val="00880C7E"/>
    <w:rsid w:val="00880F0D"/>
    <w:rsid w:val="0088275D"/>
    <w:rsid w:val="00883712"/>
    <w:rsid w:val="008904A3"/>
    <w:rsid w:val="008911B7"/>
    <w:rsid w:val="0089763B"/>
    <w:rsid w:val="008B023F"/>
    <w:rsid w:val="008B2B41"/>
    <w:rsid w:val="008B2BE8"/>
    <w:rsid w:val="008B5EDC"/>
    <w:rsid w:val="008B6AE3"/>
    <w:rsid w:val="008C319D"/>
    <w:rsid w:val="008C3792"/>
    <w:rsid w:val="008C5BFF"/>
    <w:rsid w:val="008D1045"/>
    <w:rsid w:val="008D6267"/>
    <w:rsid w:val="008D7607"/>
    <w:rsid w:val="008E0582"/>
    <w:rsid w:val="008E1E62"/>
    <w:rsid w:val="008E5996"/>
    <w:rsid w:val="008E7232"/>
    <w:rsid w:val="008F050C"/>
    <w:rsid w:val="008F067A"/>
    <w:rsid w:val="008F2A6A"/>
    <w:rsid w:val="008F736D"/>
    <w:rsid w:val="008F7A25"/>
    <w:rsid w:val="00900FF6"/>
    <w:rsid w:val="00901AE1"/>
    <w:rsid w:val="00902EA5"/>
    <w:rsid w:val="00903CCA"/>
    <w:rsid w:val="00904ACB"/>
    <w:rsid w:val="0090752A"/>
    <w:rsid w:val="009104A4"/>
    <w:rsid w:val="009126CD"/>
    <w:rsid w:val="009153C9"/>
    <w:rsid w:val="00916218"/>
    <w:rsid w:val="00916FB2"/>
    <w:rsid w:val="009205B4"/>
    <w:rsid w:val="009218A9"/>
    <w:rsid w:val="009225FC"/>
    <w:rsid w:val="00924011"/>
    <w:rsid w:val="00924466"/>
    <w:rsid w:val="0092767C"/>
    <w:rsid w:val="00933818"/>
    <w:rsid w:val="009346D7"/>
    <w:rsid w:val="00936D6B"/>
    <w:rsid w:val="00936DBF"/>
    <w:rsid w:val="00942279"/>
    <w:rsid w:val="00944A95"/>
    <w:rsid w:val="00950F03"/>
    <w:rsid w:val="009537FE"/>
    <w:rsid w:val="00955576"/>
    <w:rsid w:val="00955B59"/>
    <w:rsid w:val="0096194E"/>
    <w:rsid w:val="0096213B"/>
    <w:rsid w:val="00966D7E"/>
    <w:rsid w:val="009678E3"/>
    <w:rsid w:val="00981594"/>
    <w:rsid w:val="00981F68"/>
    <w:rsid w:val="0098216B"/>
    <w:rsid w:val="009871DD"/>
    <w:rsid w:val="0098729B"/>
    <w:rsid w:val="00987552"/>
    <w:rsid w:val="00990580"/>
    <w:rsid w:val="00992262"/>
    <w:rsid w:val="009926BC"/>
    <w:rsid w:val="0099442B"/>
    <w:rsid w:val="00996099"/>
    <w:rsid w:val="009968CD"/>
    <w:rsid w:val="009A3D65"/>
    <w:rsid w:val="009A4319"/>
    <w:rsid w:val="009A49BA"/>
    <w:rsid w:val="009A4DE4"/>
    <w:rsid w:val="009A6C3F"/>
    <w:rsid w:val="009B004E"/>
    <w:rsid w:val="009B30BA"/>
    <w:rsid w:val="009B73F2"/>
    <w:rsid w:val="009C12BD"/>
    <w:rsid w:val="009C50FE"/>
    <w:rsid w:val="009C5ADD"/>
    <w:rsid w:val="009C6D40"/>
    <w:rsid w:val="009C7DC3"/>
    <w:rsid w:val="009D0593"/>
    <w:rsid w:val="009D2E92"/>
    <w:rsid w:val="009D39A2"/>
    <w:rsid w:val="009D4923"/>
    <w:rsid w:val="009D6F6F"/>
    <w:rsid w:val="009D71A4"/>
    <w:rsid w:val="009E00EE"/>
    <w:rsid w:val="009E178E"/>
    <w:rsid w:val="009E2B49"/>
    <w:rsid w:val="009E51C7"/>
    <w:rsid w:val="009F0AF3"/>
    <w:rsid w:val="009F290E"/>
    <w:rsid w:val="009F29BD"/>
    <w:rsid w:val="00A012B0"/>
    <w:rsid w:val="00A0148D"/>
    <w:rsid w:val="00A0239F"/>
    <w:rsid w:val="00A02920"/>
    <w:rsid w:val="00A03E75"/>
    <w:rsid w:val="00A04212"/>
    <w:rsid w:val="00A11EAF"/>
    <w:rsid w:val="00A12A7F"/>
    <w:rsid w:val="00A14315"/>
    <w:rsid w:val="00A14EBA"/>
    <w:rsid w:val="00A1581B"/>
    <w:rsid w:val="00A16C4B"/>
    <w:rsid w:val="00A20796"/>
    <w:rsid w:val="00A21D8B"/>
    <w:rsid w:val="00A21FCC"/>
    <w:rsid w:val="00A223D7"/>
    <w:rsid w:val="00A271CC"/>
    <w:rsid w:val="00A34989"/>
    <w:rsid w:val="00A425B2"/>
    <w:rsid w:val="00A43300"/>
    <w:rsid w:val="00A437DF"/>
    <w:rsid w:val="00A453C0"/>
    <w:rsid w:val="00A45FCE"/>
    <w:rsid w:val="00A529B9"/>
    <w:rsid w:val="00A610CE"/>
    <w:rsid w:val="00A64081"/>
    <w:rsid w:val="00A65884"/>
    <w:rsid w:val="00A706FE"/>
    <w:rsid w:val="00A70722"/>
    <w:rsid w:val="00A75671"/>
    <w:rsid w:val="00A75F35"/>
    <w:rsid w:val="00A773CC"/>
    <w:rsid w:val="00A77524"/>
    <w:rsid w:val="00A81E6B"/>
    <w:rsid w:val="00A930D6"/>
    <w:rsid w:val="00A9318B"/>
    <w:rsid w:val="00A94AC1"/>
    <w:rsid w:val="00AA1878"/>
    <w:rsid w:val="00AA219B"/>
    <w:rsid w:val="00AA4AA5"/>
    <w:rsid w:val="00AA6170"/>
    <w:rsid w:val="00AB18B7"/>
    <w:rsid w:val="00AB634F"/>
    <w:rsid w:val="00AB6EBF"/>
    <w:rsid w:val="00AC01AB"/>
    <w:rsid w:val="00AC0288"/>
    <w:rsid w:val="00AC34A1"/>
    <w:rsid w:val="00AC50E0"/>
    <w:rsid w:val="00AC522B"/>
    <w:rsid w:val="00AC55B4"/>
    <w:rsid w:val="00AC739B"/>
    <w:rsid w:val="00AD09EC"/>
    <w:rsid w:val="00AD0DC5"/>
    <w:rsid w:val="00AD335D"/>
    <w:rsid w:val="00AE2CFB"/>
    <w:rsid w:val="00AE2E35"/>
    <w:rsid w:val="00AE4C26"/>
    <w:rsid w:val="00AF0501"/>
    <w:rsid w:val="00AF625C"/>
    <w:rsid w:val="00AF792B"/>
    <w:rsid w:val="00B0045D"/>
    <w:rsid w:val="00B103CA"/>
    <w:rsid w:val="00B106F2"/>
    <w:rsid w:val="00B11888"/>
    <w:rsid w:val="00B118F7"/>
    <w:rsid w:val="00B12026"/>
    <w:rsid w:val="00B165A5"/>
    <w:rsid w:val="00B22E07"/>
    <w:rsid w:val="00B233BF"/>
    <w:rsid w:val="00B23A32"/>
    <w:rsid w:val="00B23F34"/>
    <w:rsid w:val="00B244F5"/>
    <w:rsid w:val="00B25389"/>
    <w:rsid w:val="00B259E2"/>
    <w:rsid w:val="00B26C26"/>
    <w:rsid w:val="00B271C0"/>
    <w:rsid w:val="00B27A32"/>
    <w:rsid w:val="00B307D9"/>
    <w:rsid w:val="00B33292"/>
    <w:rsid w:val="00B35B2C"/>
    <w:rsid w:val="00B36923"/>
    <w:rsid w:val="00B44CA7"/>
    <w:rsid w:val="00B470D8"/>
    <w:rsid w:val="00B50EAF"/>
    <w:rsid w:val="00B51F74"/>
    <w:rsid w:val="00B54914"/>
    <w:rsid w:val="00B55D5E"/>
    <w:rsid w:val="00B61F32"/>
    <w:rsid w:val="00B64255"/>
    <w:rsid w:val="00B7365A"/>
    <w:rsid w:val="00B75DAE"/>
    <w:rsid w:val="00B7620B"/>
    <w:rsid w:val="00B825E0"/>
    <w:rsid w:val="00B91A65"/>
    <w:rsid w:val="00B9261D"/>
    <w:rsid w:val="00B94516"/>
    <w:rsid w:val="00BA1909"/>
    <w:rsid w:val="00BA2CEA"/>
    <w:rsid w:val="00BA33AC"/>
    <w:rsid w:val="00BB2855"/>
    <w:rsid w:val="00BC2EDB"/>
    <w:rsid w:val="00BC3660"/>
    <w:rsid w:val="00BC5F6F"/>
    <w:rsid w:val="00BD19C1"/>
    <w:rsid w:val="00BD25B8"/>
    <w:rsid w:val="00BD2838"/>
    <w:rsid w:val="00BD4195"/>
    <w:rsid w:val="00BD4F6A"/>
    <w:rsid w:val="00BD5387"/>
    <w:rsid w:val="00BE18D9"/>
    <w:rsid w:val="00BE373D"/>
    <w:rsid w:val="00BE3E06"/>
    <w:rsid w:val="00BE4CAA"/>
    <w:rsid w:val="00BE692A"/>
    <w:rsid w:val="00BF00BB"/>
    <w:rsid w:val="00BF0FCF"/>
    <w:rsid w:val="00BF2315"/>
    <w:rsid w:val="00BF23F9"/>
    <w:rsid w:val="00BF338E"/>
    <w:rsid w:val="00BF5EEB"/>
    <w:rsid w:val="00BF6797"/>
    <w:rsid w:val="00C012E1"/>
    <w:rsid w:val="00C043DD"/>
    <w:rsid w:val="00C06BB4"/>
    <w:rsid w:val="00C1068D"/>
    <w:rsid w:val="00C10B80"/>
    <w:rsid w:val="00C10D20"/>
    <w:rsid w:val="00C12807"/>
    <w:rsid w:val="00C12E0C"/>
    <w:rsid w:val="00C1327A"/>
    <w:rsid w:val="00C201EA"/>
    <w:rsid w:val="00C21916"/>
    <w:rsid w:val="00C21FE7"/>
    <w:rsid w:val="00C22649"/>
    <w:rsid w:val="00C23BCB"/>
    <w:rsid w:val="00C24303"/>
    <w:rsid w:val="00C342EB"/>
    <w:rsid w:val="00C4056E"/>
    <w:rsid w:val="00C42231"/>
    <w:rsid w:val="00C43818"/>
    <w:rsid w:val="00C457CA"/>
    <w:rsid w:val="00C46E39"/>
    <w:rsid w:val="00C51DD4"/>
    <w:rsid w:val="00C5237C"/>
    <w:rsid w:val="00C529CF"/>
    <w:rsid w:val="00C54149"/>
    <w:rsid w:val="00C56BBF"/>
    <w:rsid w:val="00C574A9"/>
    <w:rsid w:val="00C57FB7"/>
    <w:rsid w:val="00C658C8"/>
    <w:rsid w:val="00C65F3F"/>
    <w:rsid w:val="00C6789F"/>
    <w:rsid w:val="00C72414"/>
    <w:rsid w:val="00C7631D"/>
    <w:rsid w:val="00C76DF2"/>
    <w:rsid w:val="00C76EAF"/>
    <w:rsid w:val="00C8059A"/>
    <w:rsid w:val="00C80788"/>
    <w:rsid w:val="00C82E83"/>
    <w:rsid w:val="00C8667B"/>
    <w:rsid w:val="00C9069D"/>
    <w:rsid w:val="00C92CEB"/>
    <w:rsid w:val="00C9695F"/>
    <w:rsid w:val="00CA216F"/>
    <w:rsid w:val="00CA2875"/>
    <w:rsid w:val="00CA4CE3"/>
    <w:rsid w:val="00CA5583"/>
    <w:rsid w:val="00CA7BE1"/>
    <w:rsid w:val="00CA7C04"/>
    <w:rsid w:val="00CB4562"/>
    <w:rsid w:val="00CC132E"/>
    <w:rsid w:val="00CC19B8"/>
    <w:rsid w:val="00CC1EA9"/>
    <w:rsid w:val="00CC252F"/>
    <w:rsid w:val="00CC3017"/>
    <w:rsid w:val="00CC3610"/>
    <w:rsid w:val="00CC5673"/>
    <w:rsid w:val="00CC5E23"/>
    <w:rsid w:val="00CC6023"/>
    <w:rsid w:val="00CC715B"/>
    <w:rsid w:val="00CD12AD"/>
    <w:rsid w:val="00CD19A9"/>
    <w:rsid w:val="00CD2223"/>
    <w:rsid w:val="00CD4F3F"/>
    <w:rsid w:val="00CD5B02"/>
    <w:rsid w:val="00CD6E5E"/>
    <w:rsid w:val="00CD6FCB"/>
    <w:rsid w:val="00CE01EA"/>
    <w:rsid w:val="00CF35ED"/>
    <w:rsid w:val="00CF5268"/>
    <w:rsid w:val="00CF6CE3"/>
    <w:rsid w:val="00D01E44"/>
    <w:rsid w:val="00D034DE"/>
    <w:rsid w:val="00D03B5A"/>
    <w:rsid w:val="00D1124B"/>
    <w:rsid w:val="00D117CC"/>
    <w:rsid w:val="00D1574F"/>
    <w:rsid w:val="00D15CB8"/>
    <w:rsid w:val="00D2451B"/>
    <w:rsid w:val="00D2473A"/>
    <w:rsid w:val="00D2572E"/>
    <w:rsid w:val="00D258FA"/>
    <w:rsid w:val="00D273F2"/>
    <w:rsid w:val="00D30230"/>
    <w:rsid w:val="00D311F8"/>
    <w:rsid w:val="00D36B52"/>
    <w:rsid w:val="00D377C8"/>
    <w:rsid w:val="00D37DA6"/>
    <w:rsid w:val="00D41274"/>
    <w:rsid w:val="00D4316B"/>
    <w:rsid w:val="00D43326"/>
    <w:rsid w:val="00D43BF3"/>
    <w:rsid w:val="00D454A2"/>
    <w:rsid w:val="00D50F39"/>
    <w:rsid w:val="00D51DE5"/>
    <w:rsid w:val="00D5230F"/>
    <w:rsid w:val="00D63D1C"/>
    <w:rsid w:val="00D67245"/>
    <w:rsid w:val="00D67E4A"/>
    <w:rsid w:val="00D74BAE"/>
    <w:rsid w:val="00D767BB"/>
    <w:rsid w:val="00D77B20"/>
    <w:rsid w:val="00D83FE4"/>
    <w:rsid w:val="00D87964"/>
    <w:rsid w:val="00D90745"/>
    <w:rsid w:val="00D914C7"/>
    <w:rsid w:val="00D939B0"/>
    <w:rsid w:val="00D961F2"/>
    <w:rsid w:val="00D96B3D"/>
    <w:rsid w:val="00DA04F5"/>
    <w:rsid w:val="00DA6166"/>
    <w:rsid w:val="00DA7D6D"/>
    <w:rsid w:val="00DA7EB3"/>
    <w:rsid w:val="00DB14FA"/>
    <w:rsid w:val="00DB16E0"/>
    <w:rsid w:val="00DB21E8"/>
    <w:rsid w:val="00DB25D3"/>
    <w:rsid w:val="00DB2DF9"/>
    <w:rsid w:val="00DB483C"/>
    <w:rsid w:val="00DB7E63"/>
    <w:rsid w:val="00DC2055"/>
    <w:rsid w:val="00DC2AE2"/>
    <w:rsid w:val="00DC54C8"/>
    <w:rsid w:val="00DC76F8"/>
    <w:rsid w:val="00DD01F8"/>
    <w:rsid w:val="00DD71E8"/>
    <w:rsid w:val="00DD7F83"/>
    <w:rsid w:val="00DE020A"/>
    <w:rsid w:val="00DE23DF"/>
    <w:rsid w:val="00DE2599"/>
    <w:rsid w:val="00DE29E1"/>
    <w:rsid w:val="00DE4C0D"/>
    <w:rsid w:val="00DE6298"/>
    <w:rsid w:val="00DE7841"/>
    <w:rsid w:val="00DF7EA1"/>
    <w:rsid w:val="00E0297F"/>
    <w:rsid w:val="00E06228"/>
    <w:rsid w:val="00E0641E"/>
    <w:rsid w:val="00E06664"/>
    <w:rsid w:val="00E13836"/>
    <w:rsid w:val="00E254C5"/>
    <w:rsid w:val="00E265DF"/>
    <w:rsid w:val="00E26EB8"/>
    <w:rsid w:val="00E304BC"/>
    <w:rsid w:val="00E32853"/>
    <w:rsid w:val="00E331DF"/>
    <w:rsid w:val="00E4017B"/>
    <w:rsid w:val="00E401F8"/>
    <w:rsid w:val="00E425A3"/>
    <w:rsid w:val="00E45B5F"/>
    <w:rsid w:val="00E46425"/>
    <w:rsid w:val="00E47D0E"/>
    <w:rsid w:val="00E47E36"/>
    <w:rsid w:val="00E5050F"/>
    <w:rsid w:val="00E56619"/>
    <w:rsid w:val="00E633C1"/>
    <w:rsid w:val="00E634EB"/>
    <w:rsid w:val="00E64F64"/>
    <w:rsid w:val="00E65018"/>
    <w:rsid w:val="00E676F2"/>
    <w:rsid w:val="00E7535B"/>
    <w:rsid w:val="00E779EE"/>
    <w:rsid w:val="00E801BB"/>
    <w:rsid w:val="00E80253"/>
    <w:rsid w:val="00E80A5E"/>
    <w:rsid w:val="00E80AC0"/>
    <w:rsid w:val="00E80D80"/>
    <w:rsid w:val="00E867C4"/>
    <w:rsid w:val="00E87FBE"/>
    <w:rsid w:val="00E90C59"/>
    <w:rsid w:val="00E915A5"/>
    <w:rsid w:val="00E93DDC"/>
    <w:rsid w:val="00E94339"/>
    <w:rsid w:val="00E952CC"/>
    <w:rsid w:val="00E97563"/>
    <w:rsid w:val="00EA263C"/>
    <w:rsid w:val="00EA5008"/>
    <w:rsid w:val="00EA6F0B"/>
    <w:rsid w:val="00EA7FC2"/>
    <w:rsid w:val="00EB0B63"/>
    <w:rsid w:val="00EB218F"/>
    <w:rsid w:val="00EB523B"/>
    <w:rsid w:val="00EC265C"/>
    <w:rsid w:val="00EC70BF"/>
    <w:rsid w:val="00ED61CB"/>
    <w:rsid w:val="00EE1821"/>
    <w:rsid w:val="00EE1AC4"/>
    <w:rsid w:val="00EE230A"/>
    <w:rsid w:val="00EE3E9A"/>
    <w:rsid w:val="00EE5F3D"/>
    <w:rsid w:val="00EF4BAF"/>
    <w:rsid w:val="00EF4BD9"/>
    <w:rsid w:val="00EF57E4"/>
    <w:rsid w:val="00EF62B9"/>
    <w:rsid w:val="00F00781"/>
    <w:rsid w:val="00F020B8"/>
    <w:rsid w:val="00F0227D"/>
    <w:rsid w:val="00F04AB3"/>
    <w:rsid w:val="00F06A72"/>
    <w:rsid w:val="00F07E74"/>
    <w:rsid w:val="00F10557"/>
    <w:rsid w:val="00F114B5"/>
    <w:rsid w:val="00F12689"/>
    <w:rsid w:val="00F12E79"/>
    <w:rsid w:val="00F136F0"/>
    <w:rsid w:val="00F15DB9"/>
    <w:rsid w:val="00F20BBB"/>
    <w:rsid w:val="00F22CA6"/>
    <w:rsid w:val="00F23ABE"/>
    <w:rsid w:val="00F37699"/>
    <w:rsid w:val="00F418B9"/>
    <w:rsid w:val="00F43BD8"/>
    <w:rsid w:val="00F47917"/>
    <w:rsid w:val="00F50AE6"/>
    <w:rsid w:val="00F5383C"/>
    <w:rsid w:val="00F55AAA"/>
    <w:rsid w:val="00F562F3"/>
    <w:rsid w:val="00F66E44"/>
    <w:rsid w:val="00F6768B"/>
    <w:rsid w:val="00F721BB"/>
    <w:rsid w:val="00F737BD"/>
    <w:rsid w:val="00F73FF5"/>
    <w:rsid w:val="00F74B89"/>
    <w:rsid w:val="00F75133"/>
    <w:rsid w:val="00F76433"/>
    <w:rsid w:val="00F81289"/>
    <w:rsid w:val="00F83487"/>
    <w:rsid w:val="00F84ACE"/>
    <w:rsid w:val="00F9383B"/>
    <w:rsid w:val="00F967B4"/>
    <w:rsid w:val="00FA3899"/>
    <w:rsid w:val="00FA4909"/>
    <w:rsid w:val="00FA53CF"/>
    <w:rsid w:val="00FA6751"/>
    <w:rsid w:val="00FB1048"/>
    <w:rsid w:val="00FB27BD"/>
    <w:rsid w:val="00FB4523"/>
    <w:rsid w:val="00FB587C"/>
    <w:rsid w:val="00FB62C4"/>
    <w:rsid w:val="00FB648B"/>
    <w:rsid w:val="00FB6BD2"/>
    <w:rsid w:val="00FB7579"/>
    <w:rsid w:val="00FB7701"/>
    <w:rsid w:val="00FC0C08"/>
    <w:rsid w:val="00FC36BE"/>
    <w:rsid w:val="00FC3E12"/>
    <w:rsid w:val="00FC41CE"/>
    <w:rsid w:val="00FC62E8"/>
    <w:rsid w:val="00FC6A29"/>
    <w:rsid w:val="00FC7D5E"/>
    <w:rsid w:val="00FD09BB"/>
    <w:rsid w:val="00FD1AC5"/>
    <w:rsid w:val="00FD264D"/>
    <w:rsid w:val="00FD4CB6"/>
    <w:rsid w:val="00FD5CF0"/>
    <w:rsid w:val="00FD629A"/>
    <w:rsid w:val="00FD62AD"/>
    <w:rsid w:val="00FE44E9"/>
    <w:rsid w:val="00FF4644"/>
    <w:rsid w:val="00FF6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3" w:locked="0"/>
    <w:lsdException w:name="Balloon Text" w:locked="0"/>
    <w:lsdException w:name="Table Grid" w:locked="0" w:uiPriority="59"/>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1790D"/>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TPaperTitle">
    <w:name w:val="IET Paper Title"/>
    <w:basedOn w:val="Header"/>
    <w:qFormat/>
    <w:locked/>
    <w:rsid w:val="0071790D"/>
    <w:rPr>
      <w:b/>
      <w:sz w:val="28"/>
    </w:rPr>
  </w:style>
  <w:style w:type="paragraph" w:customStyle="1" w:styleId="IETHeading1">
    <w:name w:val="IET Heading 1"/>
    <w:basedOn w:val="Heading2"/>
    <w:qFormat/>
    <w:locked/>
    <w:rsid w:val="0031381D"/>
    <w:pPr>
      <w:numPr>
        <w:numId w:val="3"/>
      </w:numPr>
    </w:pPr>
    <w:rPr>
      <w:i w:val="0"/>
      <w:sz w:val="24"/>
    </w:rPr>
  </w:style>
  <w:style w:type="paragraph" w:styleId="Header">
    <w:name w:val="header"/>
    <w:basedOn w:val="Normal"/>
    <w:link w:val="HeaderChar"/>
    <w:rsid w:val="0071790D"/>
    <w:pPr>
      <w:tabs>
        <w:tab w:val="center" w:pos="4513"/>
        <w:tab w:val="right" w:pos="9026"/>
      </w:tabs>
    </w:pPr>
  </w:style>
  <w:style w:type="character" w:customStyle="1" w:styleId="HeaderChar">
    <w:name w:val="Header Char"/>
    <w:basedOn w:val="DefaultParagraphFont"/>
    <w:link w:val="Header"/>
    <w:rsid w:val="0071790D"/>
    <w:rPr>
      <w:sz w:val="24"/>
      <w:szCs w:val="24"/>
      <w:lang w:val="en-AU" w:eastAsia="zh-CN"/>
    </w:rPr>
  </w:style>
  <w:style w:type="paragraph" w:customStyle="1" w:styleId="IETAbstractText">
    <w:name w:val="IET Abstract Text"/>
    <w:basedOn w:val="Normal"/>
    <w:next w:val="Normal"/>
    <w:qFormat/>
    <w:locked/>
    <w:rsid w:val="00A425B2"/>
    <w:rPr>
      <w:b/>
    </w:rPr>
  </w:style>
  <w:style w:type="paragraph" w:customStyle="1" w:styleId="Style1">
    <w:name w:val="Style1"/>
    <w:basedOn w:val="Normal"/>
    <w:next w:val="NormalIndent"/>
    <w:qFormat/>
    <w:locked/>
    <w:rsid w:val="00A425B2"/>
  </w:style>
  <w:style w:type="paragraph" w:customStyle="1" w:styleId="IETParagraph">
    <w:name w:val="IET Paragraph"/>
    <w:basedOn w:val="Normal"/>
    <w:qFormat/>
    <w:locked/>
    <w:rsid w:val="00A425B2"/>
    <w:pPr>
      <w:spacing w:line="360" w:lineRule="auto"/>
      <w:ind w:firstLine="567"/>
      <w:jc w:val="both"/>
    </w:pPr>
  </w:style>
  <w:style w:type="paragraph" w:styleId="NormalIndent">
    <w:name w:val="Normal Indent"/>
    <w:basedOn w:val="Normal"/>
    <w:rsid w:val="00A425B2"/>
    <w:pPr>
      <w:ind w:left="720"/>
    </w:pPr>
  </w:style>
  <w:style w:type="paragraph" w:customStyle="1" w:styleId="IETHeading2">
    <w:name w:val="IET Heading 2"/>
    <w:basedOn w:val="Normal"/>
    <w:qFormat/>
    <w:locked/>
    <w:rsid w:val="0031381D"/>
    <w:pPr>
      <w:numPr>
        <w:numId w:val="4"/>
      </w:numPr>
      <w:ind w:left="1080"/>
    </w:pPr>
    <w:rPr>
      <w:rFonts w:ascii="Arial" w:hAnsi="Arial"/>
      <w:i/>
      <w:sz w:val="22"/>
    </w:rPr>
  </w:style>
  <w:style w:type="paragraph" w:customStyle="1" w:styleId="FigureCaption">
    <w:name w:val="Figure Caption"/>
    <w:basedOn w:val="Normal"/>
    <w:qFormat/>
    <w:rsid w:val="00AC34A1"/>
    <w:rPr>
      <w:b/>
      <w:i/>
    </w:rPr>
  </w:style>
  <w:style w:type="table" w:styleId="TableGrid">
    <w:name w:val="Table Grid"/>
    <w:basedOn w:val="TableNormal"/>
    <w:uiPriority w:val="59"/>
    <w:locked/>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TFigureCaption">
    <w:name w:val="IET Figure Caption"/>
    <w:basedOn w:val="FigureCaption"/>
    <w:locked/>
    <w:rsid w:val="00AC34A1"/>
    <w:rPr>
      <w:b w:val="0"/>
      <w:iCs/>
      <w:sz w:val="20"/>
    </w:rPr>
  </w:style>
  <w:style w:type="paragraph" w:customStyle="1" w:styleId="TableHeading">
    <w:name w:val="Table Heading"/>
    <w:basedOn w:val="IETParagraph"/>
    <w:next w:val="Normal"/>
    <w:qFormat/>
    <w:locked/>
    <w:rsid w:val="009C7DC3"/>
    <w:pPr>
      <w:spacing w:line="240" w:lineRule="auto"/>
      <w:ind w:firstLine="0"/>
    </w:pPr>
    <w:rPr>
      <w:sz w:val="20"/>
      <w:lang w:val="en-GB"/>
    </w:rPr>
  </w:style>
  <w:style w:type="character" w:styleId="Strong">
    <w:name w:val="Strong"/>
    <w:basedOn w:val="DefaultParagraphFont"/>
    <w:uiPriority w:val="22"/>
    <w:qFormat/>
    <w:rsid w:val="008B023F"/>
    <w:rPr>
      <w:b/>
      <w:bCs/>
    </w:rPr>
  </w:style>
  <w:style w:type="character" w:customStyle="1" w:styleId="apple-converted-space">
    <w:name w:val="apple-converted-space"/>
    <w:basedOn w:val="DefaultParagraphFont"/>
    <w:locked/>
    <w:rsid w:val="008B023F"/>
  </w:style>
  <w:style w:type="paragraph" w:styleId="Caption">
    <w:name w:val="caption"/>
    <w:basedOn w:val="Normal"/>
    <w:next w:val="Normal"/>
    <w:qFormat/>
    <w:rsid w:val="00A45FCE"/>
    <w:pPr>
      <w:spacing w:before="120" w:after="120"/>
    </w:pPr>
    <w:rPr>
      <w:b/>
      <w:bCs/>
      <w:sz w:val="20"/>
      <w:szCs w:val="20"/>
    </w:rPr>
  </w:style>
  <w:style w:type="paragraph" w:styleId="NormalWeb">
    <w:name w:val="Normal (Web)"/>
    <w:basedOn w:val="Normal"/>
    <w:uiPriority w:val="99"/>
    <w:unhideWhenUsed/>
    <w:rsid w:val="004A096A"/>
    <w:pPr>
      <w:spacing w:before="100" w:beforeAutospacing="1" w:after="100" w:afterAutospacing="1"/>
    </w:pPr>
    <w:rPr>
      <w:rFonts w:eastAsia="Times New Roman"/>
      <w:lang w:val="en-GB" w:eastAsia="en-GB"/>
    </w:rPr>
  </w:style>
  <w:style w:type="character" w:styleId="Emphasis">
    <w:name w:val="Emphasis"/>
    <w:basedOn w:val="DefaultParagraphFont"/>
    <w:uiPriority w:val="20"/>
    <w:qFormat/>
    <w:rsid w:val="004A096A"/>
    <w:rPr>
      <w:i/>
      <w:iCs/>
    </w:rPr>
  </w:style>
  <w:style w:type="paragraph" w:customStyle="1" w:styleId="IETReferences">
    <w:name w:val="IET References"/>
    <w:basedOn w:val="IETParagraph"/>
    <w:qFormat/>
    <w:locked/>
    <w:rsid w:val="00014653"/>
    <w:pPr>
      <w:spacing w:line="240" w:lineRule="auto"/>
      <w:ind w:firstLine="0"/>
      <w:jc w:val="left"/>
    </w:pPr>
    <w:rPr>
      <w:sz w:val="22"/>
      <w:lang w:val="en-GB" w:eastAsia="en-GB"/>
    </w:rPr>
  </w:style>
  <w:style w:type="character" w:styleId="FollowedHyperlink">
    <w:name w:val="FollowedHyperlink"/>
    <w:basedOn w:val="DefaultParagraphFont"/>
    <w:rsid w:val="001B4E92"/>
    <w:rPr>
      <w:color w:val="800080"/>
      <w:u w:val="single"/>
    </w:rPr>
  </w:style>
  <w:style w:type="character" w:styleId="Hyperlink">
    <w:name w:val="Hyperlink"/>
    <w:basedOn w:val="DefaultParagraphFont"/>
    <w:rsid w:val="00E867C4"/>
    <w:rPr>
      <w:color w:val="0000FF" w:themeColor="hyperlink"/>
      <w:u w:val="single"/>
    </w:rPr>
  </w:style>
  <w:style w:type="paragraph" w:styleId="BalloonText">
    <w:name w:val="Balloon Text"/>
    <w:basedOn w:val="Normal"/>
    <w:link w:val="BalloonTextChar"/>
    <w:rsid w:val="00316F83"/>
    <w:rPr>
      <w:rFonts w:ascii="Tahoma" w:hAnsi="Tahoma" w:cs="Tahoma"/>
      <w:sz w:val="16"/>
      <w:szCs w:val="16"/>
    </w:rPr>
  </w:style>
  <w:style w:type="character" w:customStyle="1" w:styleId="BalloonTextChar">
    <w:name w:val="Balloon Text Char"/>
    <w:basedOn w:val="DefaultParagraphFont"/>
    <w:link w:val="BalloonText"/>
    <w:rsid w:val="00316F83"/>
    <w:rPr>
      <w:rFonts w:ascii="Tahoma" w:hAnsi="Tahoma" w:cs="Tahoma"/>
      <w:sz w:val="16"/>
      <w:szCs w:val="16"/>
      <w:lang w:val="en-AU" w:eastAsia="zh-CN"/>
    </w:rPr>
  </w:style>
  <w:style w:type="character" w:customStyle="1" w:styleId="Heading1Char">
    <w:name w:val="Heading 1 Char"/>
    <w:basedOn w:val="DefaultParagraphFont"/>
    <w:link w:val="Heading1"/>
    <w:uiPriority w:val="9"/>
    <w:rsid w:val="00316F83"/>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316F83"/>
  </w:style>
  <w:style w:type="character" w:styleId="CommentReference">
    <w:name w:val="annotation reference"/>
    <w:basedOn w:val="DefaultParagraphFont"/>
    <w:rsid w:val="00904ACB"/>
    <w:rPr>
      <w:sz w:val="16"/>
      <w:szCs w:val="16"/>
    </w:rPr>
  </w:style>
  <w:style w:type="paragraph" w:styleId="CommentText">
    <w:name w:val="annotation text"/>
    <w:basedOn w:val="Normal"/>
    <w:link w:val="CommentTextChar"/>
    <w:rsid w:val="00904ACB"/>
    <w:rPr>
      <w:sz w:val="20"/>
      <w:szCs w:val="20"/>
    </w:rPr>
  </w:style>
  <w:style w:type="character" w:customStyle="1" w:styleId="CommentTextChar">
    <w:name w:val="Comment Text Char"/>
    <w:basedOn w:val="DefaultParagraphFont"/>
    <w:link w:val="CommentText"/>
    <w:rsid w:val="00904ACB"/>
    <w:rPr>
      <w:lang w:val="en-AU" w:eastAsia="zh-CN"/>
    </w:rPr>
  </w:style>
  <w:style w:type="paragraph" w:styleId="CommentSubject">
    <w:name w:val="annotation subject"/>
    <w:basedOn w:val="CommentText"/>
    <w:next w:val="CommentText"/>
    <w:link w:val="CommentSubjectChar"/>
    <w:rsid w:val="00904ACB"/>
    <w:rPr>
      <w:b/>
      <w:bCs/>
    </w:rPr>
  </w:style>
  <w:style w:type="character" w:customStyle="1" w:styleId="CommentSubjectChar">
    <w:name w:val="Comment Subject Char"/>
    <w:basedOn w:val="CommentTextChar"/>
    <w:link w:val="CommentSubject"/>
    <w:rsid w:val="00904ACB"/>
    <w:rPr>
      <w:b/>
      <w:bCs/>
      <w:lang w:val="en-AU" w:eastAsia="zh-CN"/>
    </w:rPr>
  </w:style>
  <w:style w:type="paragraph" w:styleId="Footer">
    <w:name w:val="footer"/>
    <w:basedOn w:val="Normal"/>
    <w:link w:val="FooterChar"/>
    <w:uiPriority w:val="99"/>
    <w:rsid w:val="008B2B41"/>
    <w:pPr>
      <w:tabs>
        <w:tab w:val="center" w:pos="4513"/>
        <w:tab w:val="right" w:pos="9026"/>
      </w:tabs>
    </w:pPr>
  </w:style>
  <w:style w:type="character" w:customStyle="1" w:styleId="FooterChar">
    <w:name w:val="Footer Char"/>
    <w:basedOn w:val="DefaultParagraphFont"/>
    <w:link w:val="Footer"/>
    <w:uiPriority w:val="99"/>
    <w:rsid w:val="008B2B41"/>
    <w:rPr>
      <w:sz w:val="24"/>
      <w:szCs w:val="24"/>
      <w:lang w:val="en-AU" w:eastAsia="zh-CN"/>
    </w:rPr>
  </w:style>
  <w:style w:type="paragraph" w:styleId="ListParagraph">
    <w:name w:val="List Paragraph"/>
    <w:basedOn w:val="Normal"/>
    <w:uiPriority w:val="34"/>
    <w:qFormat/>
    <w:rsid w:val="00BE373D"/>
    <w:pPr>
      <w:ind w:left="720"/>
      <w:contextualSpacing/>
    </w:pPr>
  </w:style>
  <w:style w:type="character" w:styleId="PlaceholderText">
    <w:name w:val="Placeholder Text"/>
    <w:basedOn w:val="DefaultParagraphFont"/>
    <w:uiPriority w:val="99"/>
    <w:semiHidden/>
    <w:rsid w:val="00D1124B"/>
    <w:rPr>
      <w:color w:val="808080"/>
    </w:rPr>
  </w:style>
  <w:style w:type="table" w:styleId="TableSimple1">
    <w:name w:val="Table Simple 1"/>
    <w:basedOn w:val="TableNormal"/>
    <w:locked/>
    <w:rsid w:val="00C46E3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quation">
    <w:name w:val="Equation"/>
    <w:basedOn w:val="Normal"/>
    <w:next w:val="Normal"/>
    <w:rsid w:val="00C12807"/>
    <w:pPr>
      <w:widowControl w:val="0"/>
      <w:tabs>
        <w:tab w:val="right" w:pos="5040"/>
      </w:tabs>
      <w:autoSpaceDE w:val="0"/>
      <w:autoSpaceDN w:val="0"/>
      <w:spacing w:line="252" w:lineRule="auto"/>
      <w:jc w:val="both"/>
    </w:pPr>
    <w:rPr>
      <w:rFonts w:eastAsia="Times New Roman"/>
      <w:sz w:val="20"/>
      <w:szCs w:val="20"/>
      <w:lang w:val="en-US" w:eastAsia="en-US"/>
    </w:rPr>
  </w:style>
  <w:style w:type="character" w:customStyle="1" w:styleId="e24kjd">
    <w:name w:val="e24kjd"/>
    <w:basedOn w:val="DefaultParagraphFont"/>
    <w:rsid w:val="009346D7"/>
  </w:style>
  <w:style w:type="paragraph" w:customStyle="1" w:styleId="Author">
    <w:name w:val="Author"/>
    <w:basedOn w:val="Normal"/>
    <w:rsid w:val="00C4056E"/>
    <w:pPr>
      <w:spacing w:before="40" w:after="100" w:line="260" w:lineRule="exact"/>
      <w:jc w:val="center"/>
    </w:pPr>
    <w:rPr>
      <w:rFonts w:eastAsia="Times New Roman"/>
      <w:snapToGrid w:val="0"/>
      <w:sz w:val="16"/>
      <w:lang w:val="en-US" w:eastAsia="en-US"/>
    </w:rPr>
  </w:style>
  <w:style w:type="character" w:customStyle="1" w:styleId="highwire-cite-metadata-pages">
    <w:name w:val="highwire-cite-metadata-pages"/>
    <w:basedOn w:val="DefaultParagraphFont"/>
    <w:rsid w:val="006C08B5"/>
  </w:style>
  <w:style w:type="paragraph" w:customStyle="1" w:styleId="Default">
    <w:name w:val="Default"/>
    <w:rsid w:val="00573181"/>
    <w:pPr>
      <w:autoSpaceDE w:val="0"/>
      <w:autoSpaceDN w:val="0"/>
      <w:adjustRightInd w:val="0"/>
    </w:pPr>
    <w:rPr>
      <w:rFonts w:eastAsiaTheme="minorHAns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3" w:locked="0"/>
    <w:lsdException w:name="Balloon Text" w:locked="0"/>
    <w:lsdException w:name="Table Grid" w:locked="0" w:uiPriority="59"/>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1790D"/>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TPaperTitle">
    <w:name w:val="IET Paper Title"/>
    <w:basedOn w:val="Header"/>
    <w:qFormat/>
    <w:locked/>
    <w:rsid w:val="0071790D"/>
    <w:rPr>
      <w:b/>
      <w:sz w:val="28"/>
    </w:rPr>
  </w:style>
  <w:style w:type="paragraph" w:customStyle="1" w:styleId="IETHeading1">
    <w:name w:val="IET Heading 1"/>
    <w:basedOn w:val="Heading2"/>
    <w:qFormat/>
    <w:locked/>
    <w:rsid w:val="0031381D"/>
    <w:pPr>
      <w:numPr>
        <w:numId w:val="3"/>
      </w:numPr>
    </w:pPr>
    <w:rPr>
      <w:i w:val="0"/>
      <w:sz w:val="24"/>
    </w:rPr>
  </w:style>
  <w:style w:type="paragraph" w:styleId="Header">
    <w:name w:val="header"/>
    <w:basedOn w:val="Normal"/>
    <w:link w:val="HeaderChar"/>
    <w:rsid w:val="0071790D"/>
    <w:pPr>
      <w:tabs>
        <w:tab w:val="center" w:pos="4513"/>
        <w:tab w:val="right" w:pos="9026"/>
      </w:tabs>
    </w:pPr>
  </w:style>
  <w:style w:type="character" w:customStyle="1" w:styleId="HeaderChar">
    <w:name w:val="Header Char"/>
    <w:basedOn w:val="DefaultParagraphFont"/>
    <w:link w:val="Header"/>
    <w:rsid w:val="0071790D"/>
    <w:rPr>
      <w:sz w:val="24"/>
      <w:szCs w:val="24"/>
      <w:lang w:val="en-AU" w:eastAsia="zh-CN"/>
    </w:rPr>
  </w:style>
  <w:style w:type="paragraph" w:customStyle="1" w:styleId="IETAbstractText">
    <w:name w:val="IET Abstract Text"/>
    <w:basedOn w:val="Normal"/>
    <w:next w:val="Normal"/>
    <w:qFormat/>
    <w:locked/>
    <w:rsid w:val="00A425B2"/>
    <w:rPr>
      <w:b/>
    </w:rPr>
  </w:style>
  <w:style w:type="paragraph" w:customStyle="1" w:styleId="Style1">
    <w:name w:val="Style1"/>
    <w:basedOn w:val="Normal"/>
    <w:next w:val="NormalIndent"/>
    <w:qFormat/>
    <w:locked/>
    <w:rsid w:val="00A425B2"/>
  </w:style>
  <w:style w:type="paragraph" w:customStyle="1" w:styleId="IETParagraph">
    <w:name w:val="IET Paragraph"/>
    <w:basedOn w:val="Normal"/>
    <w:qFormat/>
    <w:locked/>
    <w:rsid w:val="00A425B2"/>
    <w:pPr>
      <w:spacing w:line="360" w:lineRule="auto"/>
      <w:ind w:firstLine="567"/>
      <w:jc w:val="both"/>
    </w:pPr>
  </w:style>
  <w:style w:type="paragraph" w:styleId="NormalIndent">
    <w:name w:val="Normal Indent"/>
    <w:basedOn w:val="Normal"/>
    <w:rsid w:val="00A425B2"/>
    <w:pPr>
      <w:ind w:left="720"/>
    </w:pPr>
  </w:style>
  <w:style w:type="paragraph" w:customStyle="1" w:styleId="IETHeading2">
    <w:name w:val="IET Heading 2"/>
    <w:basedOn w:val="Normal"/>
    <w:qFormat/>
    <w:locked/>
    <w:rsid w:val="0031381D"/>
    <w:pPr>
      <w:numPr>
        <w:numId w:val="4"/>
      </w:numPr>
      <w:ind w:left="1080"/>
    </w:pPr>
    <w:rPr>
      <w:rFonts w:ascii="Arial" w:hAnsi="Arial"/>
      <w:i/>
      <w:sz w:val="22"/>
    </w:rPr>
  </w:style>
  <w:style w:type="paragraph" w:customStyle="1" w:styleId="FigureCaption">
    <w:name w:val="Figure Caption"/>
    <w:basedOn w:val="Normal"/>
    <w:qFormat/>
    <w:rsid w:val="00AC34A1"/>
    <w:rPr>
      <w:b/>
      <w:i/>
    </w:rPr>
  </w:style>
  <w:style w:type="table" w:styleId="TableGrid">
    <w:name w:val="Table Grid"/>
    <w:basedOn w:val="TableNormal"/>
    <w:uiPriority w:val="59"/>
    <w:locked/>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TFigureCaption">
    <w:name w:val="IET Figure Caption"/>
    <w:basedOn w:val="FigureCaption"/>
    <w:locked/>
    <w:rsid w:val="00AC34A1"/>
    <w:rPr>
      <w:b w:val="0"/>
      <w:iCs/>
      <w:sz w:val="20"/>
    </w:rPr>
  </w:style>
  <w:style w:type="paragraph" w:customStyle="1" w:styleId="TableHeading">
    <w:name w:val="Table Heading"/>
    <w:basedOn w:val="IETParagraph"/>
    <w:next w:val="Normal"/>
    <w:qFormat/>
    <w:locked/>
    <w:rsid w:val="009C7DC3"/>
    <w:pPr>
      <w:spacing w:line="240" w:lineRule="auto"/>
      <w:ind w:firstLine="0"/>
    </w:pPr>
    <w:rPr>
      <w:sz w:val="20"/>
      <w:lang w:val="en-GB"/>
    </w:rPr>
  </w:style>
  <w:style w:type="character" w:styleId="Strong">
    <w:name w:val="Strong"/>
    <w:basedOn w:val="DefaultParagraphFont"/>
    <w:uiPriority w:val="22"/>
    <w:qFormat/>
    <w:rsid w:val="008B023F"/>
    <w:rPr>
      <w:b/>
      <w:bCs/>
    </w:rPr>
  </w:style>
  <w:style w:type="character" w:customStyle="1" w:styleId="apple-converted-space">
    <w:name w:val="apple-converted-space"/>
    <w:basedOn w:val="DefaultParagraphFont"/>
    <w:locked/>
    <w:rsid w:val="008B023F"/>
  </w:style>
  <w:style w:type="paragraph" w:styleId="Caption">
    <w:name w:val="caption"/>
    <w:basedOn w:val="Normal"/>
    <w:next w:val="Normal"/>
    <w:qFormat/>
    <w:rsid w:val="00A45FCE"/>
    <w:pPr>
      <w:spacing w:before="120" w:after="120"/>
    </w:pPr>
    <w:rPr>
      <w:b/>
      <w:bCs/>
      <w:sz w:val="20"/>
      <w:szCs w:val="20"/>
    </w:rPr>
  </w:style>
  <w:style w:type="paragraph" w:styleId="NormalWeb">
    <w:name w:val="Normal (Web)"/>
    <w:basedOn w:val="Normal"/>
    <w:uiPriority w:val="99"/>
    <w:unhideWhenUsed/>
    <w:rsid w:val="004A096A"/>
    <w:pPr>
      <w:spacing w:before="100" w:beforeAutospacing="1" w:after="100" w:afterAutospacing="1"/>
    </w:pPr>
    <w:rPr>
      <w:rFonts w:eastAsia="Times New Roman"/>
      <w:lang w:val="en-GB" w:eastAsia="en-GB"/>
    </w:rPr>
  </w:style>
  <w:style w:type="character" w:styleId="Emphasis">
    <w:name w:val="Emphasis"/>
    <w:basedOn w:val="DefaultParagraphFont"/>
    <w:uiPriority w:val="20"/>
    <w:qFormat/>
    <w:rsid w:val="004A096A"/>
    <w:rPr>
      <w:i/>
      <w:iCs/>
    </w:rPr>
  </w:style>
  <w:style w:type="paragraph" w:customStyle="1" w:styleId="IETReferences">
    <w:name w:val="IET References"/>
    <w:basedOn w:val="IETParagraph"/>
    <w:qFormat/>
    <w:locked/>
    <w:rsid w:val="00014653"/>
    <w:pPr>
      <w:spacing w:line="240" w:lineRule="auto"/>
      <w:ind w:firstLine="0"/>
      <w:jc w:val="left"/>
    </w:pPr>
    <w:rPr>
      <w:sz w:val="22"/>
      <w:lang w:val="en-GB" w:eastAsia="en-GB"/>
    </w:rPr>
  </w:style>
  <w:style w:type="character" w:styleId="FollowedHyperlink">
    <w:name w:val="FollowedHyperlink"/>
    <w:basedOn w:val="DefaultParagraphFont"/>
    <w:rsid w:val="001B4E92"/>
    <w:rPr>
      <w:color w:val="800080"/>
      <w:u w:val="single"/>
    </w:rPr>
  </w:style>
  <w:style w:type="character" w:styleId="Hyperlink">
    <w:name w:val="Hyperlink"/>
    <w:basedOn w:val="DefaultParagraphFont"/>
    <w:rsid w:val="00E867C4"/>
    <w:rPr>
      <w:color w:val="0000FF" w:themeColor="hyperlink"/>
      <w:u w:val="single"/>
    </w:rPr>
  </w:style>
  <w:style w:type="paragraph" w:styleId="BalloonText">
    <w:name w:val="Balloon Text"/>
    <w:basedOn w:val="Normal"/>
    <w:link w:val="BalloonTextChar"/>
    <w:rsid w:val="00316F83"/>
    <w:rPr>
      <w:rFonts w:ascii="Tahoma" w:hAnsi="Tahoma" w:cs="Tahoma"/>
      <w:sz w:val="16"/>
      <w:szCs w:val="16"/>
    </w:rPr>
  </w:style>
  <w:style w:type="character" w:customStyle="1" w:styleId="BalloonTextChar">
    <w:name w:val="Balloon Text Char"/>
    <w:basedOn w:val="DefaultParagraphFont"/>
    <w:link w:val="BalloonText"/>
    <w:rsid w:val="00316F83"/>
    <w:rPr>
      <w:rFonts w:ascii="Tahoma" w:hAnsi="Tahoma" w:cs="Tahoma"/>
      <w:sz w:val="16"/>
      <w:szCs w:val="16"/>
      <w:lang w:val="en-AU" w:eastAsia="zh-CN"/>
    </w:rPr>
  </w:style>
  <w:style w:type="character" w:customStyle="1" w:styleId="Heading1Char">
    <w:name w:val="Heading 1 Char"/>
    <w:basedOn w:val="DefaultParagraphFont"/>
    <w:link w:val="Heading1"/>
    <w:uiPriority w:val="9"/>
    <w:rsid w:val="00316F83"/>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316F83"/>
  </w:style>
  <w:style w:type="character" w:styleId="CommentReference">
    <w:name w:val="annotation reference"/>
    <w:basedOn w:val="DefaultParagraphFont"/>
    <w:rsid w:val="00904ACB"/>
    <w:rPr>
      <w:sz w:val="16"/>
      <w:szCs w:val="16"/>
    </w:rPr>
  </w:style>
  <w:style w:type="paragraph" w:styleId="CommentText">
    <w:name w:val="annotation text"/>
    <w:basedOn w:val="Normal"/>
    <w:link w:val="CommentTextChar"/>
    <w:rsid w:val="00904ACB"/>
    <w:rPr>
      <w:sz w:val="20"/>
      <w:szCs w:val="20"/>
    </w:rPr>
  </w:style>
  <w:style w:type="character" w:customStyle="1" w:styleId="CommentTextChar">
    <w:name w:val="Comment Text Char"/>
    <w:basedOn w:val="DefaultParagraphFont"/>
    <w:link w:val="CommentText"/>
    <w:rsid w:val="00904ACB"/>
    <w:rPr>
      <w:lang w:val="en-AU" w:eastAsia="zh-CN"/>
    </w:rPr>
  </w:style>
  <w:style w:type="paragraph" w:styleId="CommentSubject">
    <w:name w:val="annotation subject"/>
    <w:basedOn w:val="CommentText"/>
    <w:next w:val="CommentText"/>
    <w:link w:val="CommentSubjectChar"/>
    <w:rsid w:val="00904ACB"/>
    <w:rPr>
      <w:b/>
      <w:bCs/>
    </w:rPr>
  </w:style>
  <w:style w:type="character" w:customStyle="1" w:styleId="CommentSubjectChar">
    <w:name w:val="Comment Subject Char"/>
    <w:basedOn w:val="CommentTextChar"/>
    <w:link w:val="CommentSubject"/>
    <w:rsid w:val="00904ACB"/>
    <w:rPr>
      <w:b/>
      <w:bCs/>
      <w:lang w:val="en-AU" w:eastAsia="zh-CN"/>
    </w:rPr>
  </w:style>
  <w:style w:type="paragraph" w:styleId="Footer">
    <w:name w:val="footer"/>
    <w:basedOn w:val="Normal"/>
    <w:link w:val="FooterChar"/>
    <w:uiPriority w:val="99"/>
    <w:rsid w:val="008B2B41"/>
    <w:pPr>
      <w:tabs>
        <w:tab w:val="center" w:pos="4513"/>
        <w:tab w:val="right" w:pos="9026"/>
      </w:tabs>
    </w:pPr>
  </w:style>
  <w:style w:type="character" w:customStyle="1" w:styleId="FooterChar">
    <w:name w:val="Footer Char"/>
    <w:basedOn w:val="DefaultParagraphFont"/>
    <w:link w:val="Footer"/>
    <w:uiPriority w:val="99"/>
    <w:rsid w:val="008B2B41"/>
    <w:rPr>
      <w:sz w:val="24"/>
      <w:szCs w:val="24"/>
      <w:lang w:val="en-AU" w:eastAsia="zh-CN"/>
    </w:rPr>
  </w:style>
  <w:style w:type="paragraph" w:styleId="ListParagraph">
    <w:name w:val="List Paragraph"/>
    <w:basedOn w:val="Normal"/>
    <w:uiPriority w:val="34"/>
    <w:qFormat/>
    <w:rsid w:val="00BE373D"/>
    <w:pPr>
      <w:ind w:left="720"/>
      <w:contextualSpacing/>
    </w:pPr>
  </w:style>
  <w:style w:type="character" w:styleId="PlaceholderText">
    <w:name w:val="Placeholder Text"/>
    <w:basedOn w:val="DefaultParagraphFont"/>
    <w:uiPriority w:val="99"/>
    <w:semiHidden/>
    <w:rsid w:val="00D1124B"/>
    <w:rPr>
      <w:color w:val="808080"/>
    </w:rPr>
  </w:style>
  <w:style w:type="table" w:styleId="TableSimple1">
    <w:name w:val="Table Simple 1"/>
    <w:basedOn w:val="TableNormal"/>
    <w:locked/>
    <w:rsid w:val="00C46E3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quation">
    <w:name w:val="Equation"/>
    <w:basedOn w:val="Normal"/>
    <w:next w:val="Normal"/>
    <w:rsid w:val="00C12807"/>
    <w:pPr>
      <w:widowControl w:val="0"/>
      <w:tabs>
        <w:tab w:val="right" w:pos="5040"/>
      </w:tabs>
      <w:autoSpaceDE w:val="0"/>
      <w:autoSpaceDN w:val="0"/>
      <w:spacing w:line="252" w:lineRule="auto"/>
      <w:jc w:val="both"/>
    </w:pPr>
    <w:rPr>
      <w:rFonts w:eastAsia="Times New Roman"/>
      <w:sz w:val="20"/>
      <w:szCs w:val="20"/>
      <w:lang w:val="en-US" w:eastAsia="en-US"/>
    </w:rPr>
  </w:style>
  <w:style w:type="character" w:customStyle="1" w:styleId="e24kjd">
    <w:name w:val="e24kjd"/>
    <w:basedOn w:val="DefaultParagraphFont"/>
    <w:rsid w:val="009346D7"/>
  </w:style>
  <w:style w:type="paragraph" w:customStyle="1" w:styleId="Author">
    <w:name w:val="Author"/>
    <w:basedOn w:val="Normal"/>
    <w:rsid w:val="00C4056E"/>
    <w:pPr>
      <w:spacing w:before="40" w:after="100" w:line="260" w:lineRule="exact"/>
      <w:jc w:val="center"/>
    </w:pPr>
    <w:rPr>
      <w:rFonts w:eastAsia="Times New Roman"/>
      <w:snapToGrid w:val="0"/>
      <w:sz w:val="16"/>
      <w:lang w:val="en-US" w:eastAsia="en-US"/>
    </w:rPr>
  </w:style>
  <w:style w:type="character" w:customStyle="1" w:styleId="highwire-cite-metadata-pages">
    <w:name w:val="highwire-cite-metadata-pages"/>
    <w:basedOn w:val="DefaultParagraphFont"/>
    <w:rsid w:val="006C08B5"/>
  </w:style>
  <w:style w:type="paragraph" w:customStyle="1" w:styleId="Default">
    <w:name w:val="Default"/>
    <w:rsid w:val="00573181"/>
    <w:pPr>
      <w:autoSpaceDE w:val="0"/>
      <w:autoSpaceDN w:val="0"/>
      <w:adjustRightInd w:val="0"/>
    </w:pPr>
    <w:rPr>
      <w:rFonts w:eastAsiaTheme="minorHAns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kar.mondal02@gmail.com" TargetMode="Externa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hdphoto" Target="media/hdphoto2.wdp"/><Relationship Id="rId25" Type="http://schemas.microsoft.com/office/2007/relationships/hdphoto" Target="media/hdphoto6.wdp"/><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microsoft.com/office/2007/relationships/hdphoto" Target="media/hdphoto8.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7.jpeg"/><Relationship Id="rId32" Type="http://schemas.microsoft.com/office/2007/relationships/stylesWithEffects" Target="stylesWithEffects.xml"/><Relationship Id="rId5" Type="http://schemas.openxmlformats.org/officeDocument/2006/relationships/webSettings" Target="webSettings.xml"/><Relationship Id="rId15" Type="http://schemas.microsoft.com/office/2007/relationships/hdphoto" Target="media/hdphoto1.wdp"/><Relationship Id="rId23" Type="http://schemas.microsoft.com/office/2007/relationships/hdphoto" Target="media/hdphoto5.wdp"/><Relationship Id="rId28" Type="http://schemas.openxmlformats.org/officeDocument/2006/relationships/image" Target="media/image9.jpeg"/><Relationship Id="rId10" Type="http://schemas.openxmlformats.org/officeDocument/2006/relationships/footer" Target="footer2.xml"/><Relationship Id="rId19" Type="http://schemas.microsoft.com/office/2007/relationships/hdphoto" Target="media/hdphoto3.wd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image" Target="media/image6.jpeg"/><Relationship Id="rId27" Type="http://schemas.microsoft.com/office/2007/relationships/hdphoto" Target="media/hdphoto7.wdp"/><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New_submissions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IET14</b:Tag>
    <b:SourceType>InternetSite</b:SourceType>
    <b:Guid>{63254D8E-9EA9-42D7-9576-CEB349B0702B}</b:Guid>
    <b:Title>Author Guide - IET Research Journals</b:Title>
    <b:Author>
      <b:Author>
        <b:Corporate>IET Digital Library</b:Corporate>
      </b:Author>
    </b:Author>
    <b:InternetSiteTitle>IET Digital Library</b:InternetSiteTitle>
    <b:YearAccessed>2014</b:YearAccessed>
    <b:MonthAccessed>November</b:MonthAccessed>
    <b:DayAccessed>27</b:DayAccessed>
    <b:URL>http://digital-library.theiet.org/journals/author-guide</b:URL>
    <b:RefOrder>1</b:RefOrder>
  </b:Source>
</b:Sources>
</file>

<file path=customXml/itemProps1.xml><?xml version="1.0" encoding="utf-8"?>
<ds:datastoreItem xmlns:ds="http://schemas.openxmlformats.org/officeDocument/2006/customXml" ds:itemID="{AA8D1830-1D59-4470-9269-88BDDABB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New_submissions_word_template</Template>
  <TotalTime>1</TotalTime>
  <Pages>9</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IET Submission Template</vt:lpstr>
    </vt:vector>
  </TitlesOfParts>
  <Company>Institution of Engineering and Technology</Company>
  <LinksUpToDate>false</LinksUpToDate>
  <CharactersWithSpaces>35893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 Submission Template</dc:title>
  <dc:creator>Windows User</dc:creator>
  <cp:lastModifiedBy>SANKAR</cp:lastModifiedBy>
  <cp:revision>3</cp:revision>
  <cp:lastPrinted>2020-03-20T17:36:00Z</cp:lastPrinted>
  <dcterms:created xsi:type="dcterms:W3CDTF">2020-04-04T02:15:00Z</dcterms:created>
  <dcterms:modified xsi:type="dcterms:W3CDTF">2020-04-04T02:16:00Z</dcterms:modified>
</cp:coreProperties>
</file>